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80"/>
        <w:jc w:val="center"/>
      </w:pPr>
      <w:r>
        <w:drawing>
          <wp:inline xmlns:a="http://schemas.openxmlformats.org/drawingml/2006/main" xmlns:pic="http://schemas.openxmlformats.org/drawingml/2006/picture">
            <wp:extent cx="6120000" cy="1036190"/>
            <wp:docPr id="1" name="Picture 1" descr="Bannière Pacturion dorée sur fond sombr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80"/>
      </w:pPr>
      <w:r>
        <w:rPr>
          <w:rFonts w:ascii="Arial" w:hAnsi="Arial" w:eastAsia="Arial"/>
          <w:b/>
          <w:color w:val="06110B"/>
          <w:sz w:val="45"/>
        </w:rPr>
        <w:t>ACCORD DE PILOTE EXTERNE</w:t>
      </w:r>
    </w:p>
    <w:p>
      <w:pPr>
        <w:spacing w:after="160"/>
      </w:pPr>
      <w:r>
        <w:rPr>
          <w:rFonts w:ascii="Arial" w:hAnsi="Arial" w:eastAsia="Arial"/>
          <w:color w:val="155A3E"/>
          <w:sz w:val="32"/>
        </w:rPr>
        <w:t>Modèle contractuel tokenless et testnet-only — V1.0</w:t>
      </w:r>
    </w:p>
    <w:tbl>
      <w:tblPr>
        <w:tblStyle w:val="TableGrid"/>
        <w:tblW w:type="dxa" w:w="9500"/>
        <w:jc w:val="left"/>
        <w:tblLayout w:type="fixed"/>
        <w:tblLook w:firstColumn="1" w:firstRow="1" w:lastColumn="0" w:lastRow="0" w:noHBand="0" w:noVBand="1" w:val="04A0"/>
        <w:tblInd w:w="120" w:type="dxa"/>
      </w:tblPr>
      <w:tblGrid>
        <w:gridCol w:w="1300"/>
        <w:gridCol w:w="2100"/>
        <w:gridCol w:w="3900"/>
        <w:gridCol w:w="22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8 septembre 2026</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MODÈLE À COMPLÉTER ET FAIRE VALIDER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Pacturion</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FINALITÉ</w:t>
        <w:br/>
      </w:r>
      <w:r>
        <w:rPr>
          <w:rFonts w:ascii="Arial" w:hAnsi="Arial" w:eastAsia="Arial"/>
          <w:b w:val="0"/>
          <w:color w:val="162019"/>
          <w:sz w:val="20"/>
        </w:rPr>
        <w:t>Encadrer un pilote de quatre semaines sans fonds réels, sans effet de production et sans allégation réglementaire.</w:t>
      </w:r>
    </w:p>
    <w:p>
      <w:pPr>
        <w:spacing w:before="100" w:after="180" w:line="283" w:lineRule="auto"/>
        <w:ind w:left="227" w:right="170"/>
        <w:shd w:fill="F6F0E3"/>
        <w:pBdr>
          <w:left w:val="single" w:sz="18" w:space="8" w:color="C6A15B"/>
        </w:pBdr>
      </w:pPr>
      <w:r>
        <w:rPr>
          <w:rFonts w:ascii="Arial" w:hAnsi="Arial" w:eastAsia="Arial"/>
          <w:b/>
          <w:color w:val="C6A15B"/>
          <w:sz w:val="16"/>
        </w:rPr>
        <w:t>LIMITE</w:t>
        <w:br/>
      </w:r>
      <w:r>
        <w:rPr>
          <w:rFonts w:ascii="Arial" w:hAnsi="Arial" w:eastAsia="Arial"/>
          <w:b w:val="0"/>
          <w:color w:val="162019"/>
          <w:sz w:val="20"/>
        </w:rPr>
        <w:t>Ce modèle n’est pas un avis juridique. L’identité des parties, le droit applicable, l’assurance, la responsabilité et l’annexe RGPD doivent être validés avant signature.</w:t>
      </w:r>
    </w:p>
    <w:p>
      <w:r>
        <w:br w:type="page"/>
      </w:r>
    </w:p>
    <w:p>
      <w:pPr>
        <w:keepNext/>
        <w:spacing w:before="440" w:after="100"/>
      </w:pPr>
      <w:r>
        <w:rPr>
          <w:rFonts w:ascii="Arial" w:hAnsi="Arial" w:eastAsia="Arial"/>
          <w:b/>
          <w:color w:val="C6A15B"/>
          <w:sz w:val="16"/>
        </w:rPr>
        <w:t>CHAPITRE 00</w:t>
      </w:r>
    </w:p>
    <w:p>
      <w:pPr>
        <w:pStyle w:val="Heading1"/>
        <w:pageBreakBefore w:val="0"/>
      </w:pPr>
      <w:r>
        <w:t>Fiche de complétion avant signature</w:t>
      </w:r>
    </w:p>
    <w:tbl>
      <w:tblPr>
        <w:tblStyle w:val="TableGrid"/>
        <w:tblW w:type="dxa" w:w="9500"/>
        <w:jc w:val="left"/>
        <w:tblLayout w:type="fixed"/>
        <w:tblLook w:firstColumn="1" w:firstRow="1" w:lastColumn="0" w:lastRow="0" w:noHBand="0" w:noVBand="1" w:val="04A0"/>
        <w:tblInd w:w="120" w:type="dxa"/>
      </w:tblPr>
      <w:tblGrid>
        <w:gridCol w:w="2600"/>
        <w:gridCol w:w="3450"/>
        <w:gridCol w:w="345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34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Partie Pacturion</w:t>
            </w:r>
          </w:p>
        </w:tc>
        <w:tc>
          <w:tcPr>
            <w:tcW w:type="dxa" w:w="34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Partenaire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Dénomination / forme</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COMPLÉTER]</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COMPLÉTER]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Immatriculation</w:t>
            </w:r>
          </w:p>
        </w:tc>
        <w:tc>
          <w:tcPr>
            <w:tcW w:type="dxa" w:w="3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[SIREN / registre / à défaut porteur]</w:t>
            </w:r>
          </w:p>
        </w:tc>
        <w:tc>
          <w:tcPr>
            <w:tcW w:type="dxa" w:w="3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COMPLÉTER]</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Adresse</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COMPLÉTER]</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COMPLÉTER]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Représentant habilité</w:t>
            </w:r>
          </w:p>
        </w:tc>
        <w:tc>
          <w:tcPr>
            <w:tcW w:type="dxa" w:w="3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 QUALITÉ]</w:t>
            </w:r>
          </w:p>
        </w:tc>
        <w:tc>
          <w:tcPr>
            <w:tcW w:type="dxa" w:w="3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 QUALITÉ]</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Contact opérationnel</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 EMAIL]</w:t>
            </w:r>
          </w:p>
        </w:tc>
        <w:tc>
          <w:tcPr>
            <w:tcW w:type="dxa" w:w="3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 EMAIL]</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Contact données</w:t>
            </w:r>
          </w:p>
        </w:tc>
        <w:tc>
          <w:tcPr>
            <w:tcW w:type="dxa" w:w="3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 EMAIL]</w:t>
            </w:r>
          </w:p>
        </w:tc>
        <w:tc>
          <w:tcPr>
            <w:tcW w:type="dxa" w:w="3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 EMAIL]</w:t>
            </w:r>
          </w:p>
        </w:tc>
      </w:tr>
    </w:tbl>
    <w:p>
      <w:pPr>
        <w:spacing w:after="40"/>
      </w:pPr>
    </w:p>
    <w:p>
      <w:pPr>
        <w:pStyle w:val="Heading2"/>
      </w:pPr>
      <w:r>
        <w:t>Décisions obligatoires</w:t>
      </w:r>
    </w:p>
    <w:p>
      <w:pPr>
        <w:numPr>
          <w:ilvl w:val="0"/>
          <w:numId w:val="16"/>
        </w:numPr>
        <w:spacing w:after="80" w:line="283" w:lineRule="auto"/>
      </w:pPr>
      <w:r>
        <w:rPr>
          <w:rFonts w:ascii="Arial" w:hAnsi="Arial" w:eastAsia="Arial"/>
          <w:color w:val="162019"/>
          <w:sz w:val="20"/>
        </w:rPr>
        <w:t>choisir un seul workflow pilote et nommer le décideur métier ;</w:t>
      </w:r>
    </w:p>
    <w:p>
      <w:pPr>
        <w:numPr>
          <w:ilvl w:val="0"/>
          <w:numId w:val="16"/>
        </w:numPr>
        <w:spacing w:after="80" w:line="283" w:lineRule="auto"/>
      </w:pPr>
      <w:r>
        <w:rPr>
          <w:rFonts w:ascii="Arial" w:hAnsi="Arial" w:eastAsia="Arial"/>
          <w:color w:val="162019"/>
          <w:sz w:val="20"/>
        </w:rPr>
        <w:t>définir les cinq cas minimum, les données autorisées et les critères de sortie ;</w:t>
      </w:r>
    </w:p>
    <w:p>
      <w:pPr>
        <w:numPr>
          <w:ilvl w:val="0"/>
          <w:numId w:val="16"/>
        </w:numPr>
        <w:spacing w:after="80" w:line="283" w:lineRule="auto"/>
      </w:pPr>
      <w:r>
        <w:rPr>
          <w:rFonts w:ascii="Arial" w:hAnsi="Arial" w:eastAsia="Arial"/>
          <w:color w:val="162019"/>
          <w:sz w:val="20"/>
        </w:rPr>
        <w:t>fixer un plafond de responsabilité cohérent avec l’assurance et le risque ;</w:t>
      </w:r>
    </w:p>
    <w:p>
      <w:pPr>
        <w:numPr>
          <w:ilvl w:val="0"/>
          <w:numId w:val="16"/>
        </w:numPr>
        <w:spacing w:after="80" w:line="283" w:lineRule="auto"/>
      </w:pPr>
      <w:r>
        <w:rPr>
          <w:rFonts w:ascii="Arial" w:hAnsi="Arial" w:eastAsia="Arial"/>
          <w:color w:val="162019"/>
          <w:sz w:val="20"/>
        </w:rPr>
        <w:t>déterminer les rôles RGPD réels : responsables distincts, responsables conjoints ou responsable/sous-traitant ;</w:t>
      </w:r>
    </w:p>
    <w:p>
      <w:pPr>
        <w:numPr>
          <w:ilvl w:val="0"/>
          <w:numId w:val="16"/>
        </w:numPr>
        <w:spacing w:after="80" w:line="283" w:lineRule="auto"/>
      </w:pPr>
      <w:r>
        <w:rPr>
          <w:rFonts w:ascii="Arial" w:hAnsi="Arial" w:eastAsia="Arial"/>
          <w:color w:val="162019"/>
          <w:sz w:val="20"/>
        </w:rPr>
        <w:t>choisir le droit applicable, la juridiction et les modalités de signature ;</w:t>
      </w:r>
    </w:p>
    <w:p>
      <w:pPr>
        <w:numPr>
          <w:ilvl w:val="0"/>
          <w:numId w:val="16"/>
        </w:numPr>
        <w:spacing w:after="80" w:line="283" w:lineRule="auto"/>
      </w:pPr>
      <w:r>
        <w:rPr>
          <w:rFonts w:ascii="Arial" w:hAnsi="Arial" w:eastAsia="Arial"/>
          <w:color w:val="162019"/>
          <w:sz w:val="20"/>
        </w:rPr>
        <w:t>joindre les annexes A à D dans leur version approuvée.</w:t>
      </w:r>
    </w:p>
    <w:p>
      <w:r>
        <w:br w:type="page"/>
      </w:r>
    </w:p>
    <w:p>
      <w:pPr>
        <w:keepNext/>
        <w:spacing w:before="440" w:after="100"/>
      </w:pPr>
      <w:r>
        <w:rPr>
          <w:rFonts w:ascii="Arial" w:hAnsi="Arial" w:eastAsia="Arial"/>
          <w:b/>
          <w:color w:val="C6A15B"/>
          <w:sz w:val="16"/>
        </w:rPr>
        <w:t>CHAPITRE 01</w:t>
      </w:r>
    </w:p>
    <w:p>
      <w:pPr>
        <w:pStyle w:val="Heading1"/>
        <w:pageBreakBefore w:val="0"/>
      </w:pPr>
      <w:r>
        <w:t>Parties, objet et hiérarchie contractuelle</w:t>
      </w:r>
    </w:p>
    <w:p>
      <w:pPr>
        <w:pStyle w:val="Heading2"/>
      </w:pPr>
      <w:r>
        <w:t>Parties</w:t>
      </w:r>
    </w:p>
    <w:p>
      <w:pPr>
        <w:spacing w:after="140" w:line="307" w:lineRule="auto"/>
      </w:pPr>
      <w:r>
        <w:rPr>
          <w:rFonts w:ascii="Arial" w:hAnsi="Arial" w:eastAsia="Arial"/>
          <w:i w:val="0"/>
          <w:color w:val="162019"/>
          <w:sz w:val="20"/>
        </w:rPr>
        <w:t>Le présent accord est conclu entre la partie identifiée comme « Partie Pacturion » et l’organisation identifiée comme « Partenaire ». Le nom Pacturion désigne le projet et la marque ; il ne doit pas être présenté comme une société tant qu’une entité juridique n’est pas renseignée dans la fiche de signature.</w:t>
      </w:r>
    </w:p>
    <w:p>
      <w:pPr>
        <w:pStyle w:val="Heading2"/>
      </w:pPr>
      <w:r>
        <w:t>Objet</w:t>
      </w:r>
    </w:p>
    <w:p>
      <w:pPr>
        <w:spacing w:after="140" w:line="307" w:lineRule="auto"/>
      </w:pPr>
      <w:r>
        <w:rPr>
          <w:rFonts w:ascii="Arial" w:hAnsi="Arial" w:eastAsia="Arial"/>
          <w:i w:val="0"/>
          <w:color w:val="162019"/>
          <w:sz w:val="20"/>
        </w:rPr>
        <w:t>Les parties organisent une expérimentation contrôlée visant à évaluer si un workflow d’engagement peut être décrit par des obligations, des preuves admissibles, des règles de décision et une traçabilité reproductible. Le pilote produit des observations et une décision GO, PIVOT ou NO-GO ; il ne constitue ni une mise en production, ni une certification, ni une obligation d’achat.</w:t>
      </w:r>
    </w:p>
    <w:p>
      <w:pPr>
        <w:pStyle w:val="Heading2"/>
      </w:pPr>
      <w:r>
        <w:t>Documents contractuels</w:t>
      </w:r>
    </w:p>
    <w:p>
      <w:pPr>
        <w:numPr>
          <w:ilvl w:val="0"/>
          <w:numId w:val="17"/>
        </w:numPr>
        <w:spacing w:after="80" w:line="283" w:lineRule="auto"/>
      </w:pPr>
      <w:r>
        <w:rPr>
          <w:rFonts w:ascii="Arial" w:hAnsi="Arial" w:eastAsia="Arial"/>
          <w:color w:val="162019"/>
          <w:sz w:val="20"/>
        </w:rPr>
        <w:t>le présent accord ;</w:t>
      </w:r>
    </w:p>
    <w:p>
      <w:pPr>
        <w:numPr>
          <w:ilvl w:val="0"/>
          <w:numId w:val="17"/>
        </w:numPr>
        <w:spacing w:after="80" w:line="283" w:lineRule="auto"/>
      </w:pPr>
      <w:r>
        <w:rPr>
          <w:rFonts w:ascii="Arial" w:hAnsi="Arial" w:eastAsia="Arial"/>
          <w:color w:val="162019"/>
          <w:sz w:val="20"/>
        </w:rPr>
        <w:t>l’annexe A — périmètre et critères ;</w:t>
      </w:r>
    </w:p>
    <w:p>
      <w:pPr>
        <w:numPr>
          <w:ilvl w:val="0"/>
          <w:numId w:val="17"/>
        </w:numPr>
        <w:spacing w:after="80" w:line="283" w:lineRule="auto"/>
      </w:pPr>
      <w:r>
        <w:rPr>
          <w:rFonts w:ascii="Arial" w:hAnsi="Arial" w:eastAsia="Arial"/>
          <w:color w:val="162019"/>
          <w:sz w:val="20"/>
        </w:rPr>
        <w:t>l’annexe B — données et sécurité ;</w:t>
      </w:r>
    </w:p>
    <w:p>
      <w:pPr>
        <w:numPr>
          <w:ilvl w:val="0"/>
          <w:numId w:val="17"/>
        </w:numPr>
        <w:spacing w:after="80" w:line="283" w:lineRule="auto"/>
      </w:pPr>
      <w:r>
        <w:rPr>
          <w:rFonts w:ascii="Arial" w:hAnsi="Arial" w:eastAsia="Arial"/>
          <w:color w:val="162019"/>
          <w:sz w:val="20"/>
        </w:rPr>
        <w:t>l’annexe C — responsabilités et calendrier ;</w:t>
      </w:r>
    </w:p>
    <w:p>
      <w:pPr>
        <w:numPr>
          <w:ilvl w:val="0"/>
          <w:numId w:val="17"/>
        </w:numPr>
        <w:spacing w:after="80" w:line="283" w:lineRule="auto"/>
      </w:pPr>
      <w:r>
        <w:rPr>
          <w:rFonts w:ascii="Arial" w:hAnsi="Arial" w:eastAsia="Arial"/>
          <w:color w:val="162019"/>
          <w:sz w:val="20"/>
        </w:rPr>
        <w:t>l’annexe D — résultats, communication et clôture.</w:t>
      </w:r>
    </w:p>
    <w:p>
      <w:pPr>
        <w:spacing w:before="100" w:after="180" w:line="283" w:lineRule="auto"/>
        <w:ind w:left="227" w:right="170"/>
        <w:shd w:fill="EDF3EF"/>
        <w:pBdr>
          <w:left w:val="single" w:sz="18" w:space="8" w:color="155A3E"/>
        </w:pBdr>
      </w:pPr>
      <w:r>
        <w:rPr>
          <w:rFonts w:ascii="Arial" w:hAnsi="Arial" w:eastAsia="Arial"/>
          <w:b/>
          <w:color w:val="155A3E"/>
          <w:sz w:val="16"/>
        </w:rPr>
        <w:t>PRIORITÉ</w:t>
        <w:br/>
      </w:r>
      <w:r>
        <w:rPr>
          <w:rFonts w:ascii="Arial" w:hAnsi="Arial" w:eastAsia="Arial"/>
          <w:b w:val="0"/>
          <w:color w:val="162019"/>
          <w:sz w:val="20"/>
        </w:rPr>
        <w:t>En cas de contradiction, l’accord prévaut sur les annexes, sauf dérogation identifiée, datée et signée par les deux parties.</w:t>
      </w:r>
    </w:p>
    <w:p>
      <w:r>
        <w:br w:type="page"/>
      </w:r>
    </w:p>
    <w:p>
      <w:pPr>
        <w:keepNext/>
        <w:spacing w:before="440" w:after="100"/>
      </w:pPr>
      <w:r>
        <w:rPr>
          <w:rFonts w:ascii="Arial" w:hAnsi="Arial" w:eastAsia="Arial"/>
          <w:b/>
          <w:color w:val="C6A15B"/>
          <w:sz w:val="16"/>
        </w:rPr>
        <w:t>CHAPITRE 02</w:t>
      </w:r>
    </w:p>
    <w:p>
      <w:pPr>
        <w:pStyle w:val="Heading1"/>
        <w:pageBreakBefore w:val="0"/>
      </w:pPr>
      <w:r>
        <w:t>Périmètre technique et exclusions</w:t>
      </w:r>
    </w:p>
    <w:p>
      <w:pPr>
        <w:pStyle w:val="Heading2"/>
      </w:pPr>
      <w:r>
        <w:t>Environnement autorisé</w:t>
      </w:r>
    </w:p>
    <w:tbl>
      <w:tblPr>
        <w:tblStyle w:val="TableGrid"/>
        <w:tblW w:type="dxa" w:w="9500"/>
        <w:jc w:val="left"/>
        <w:tblLayout w:type="fixed"/>
        <w:tblLook w:firstColumn="1" w:firstRow="1" w:lastColumn="0" w:lastRow="0" w:noHBand="0" w:noVBand="1" w:val="04A0"/>
        <w:tblInd w:w="120" w:type="dxa"/>
      </w:tblPr>
      <w:tblGrid>
        <w:gridCol w:w="2500"/>
        <w:gridCol w:w="70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Élément</w:t>
            </w:r>
          </w:p>
        </w:tc>
        <w:tc>
          <w:tcPr>
            <w:tcW w:type="dxa" w:w="7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Cadre obligatoire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Réseau</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Base Sepolia — chain ID 84532</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Effet</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Simulation et observation uniquement</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Actifs</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 fonds, paiement, collatéral ou actif réel</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Crypto-actif</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offre, distribution, vente, cotation ou utilité économique de VERIDIA</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Production</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connexion à un processus critique ou décision automatisée réelle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Synthétiques, anonymisées ou minimisées par défaut</w:t>
            </w:r>
          </w:p>
        </w:tc>
      </w:tr>
    </w:tbl>
    <w:p>
      <w:pPr>
        <w:spacing w:after="40"/>
      </w:pPr>
    </w:p>
    <w:p>
      <w:pPr>
        <w:pStyle w:val="Heading2"/>
      </w:pPr>
      <w:r>
        <w:t>Exclusions expresses</w:t>
      </w:r>
    </w:p>
    <w:p>
      <w:pPr>
        <w:numPr>
          <w:ilvl w:val="0"/>
          <w:numId w:val="18"/>
        </w:numPr>
        <w:spacing w:after="80" w:line="283" w:lineRule="auto"/>
      </w:pPr>
      <w:r>
        <w:rPr>
          <w:rFonts w:ascii="Arial" w:hAnsi="Arial" w:eastAsia="Arial"/>
          <w:color w:val="162019"/>
          <w:sz w:val="20"/>
        </w:rPr>
        <w:t>activité réglementée, conseil juridique, financier ou en investissement ;</w:t>
      </w:r>
    </w:p>
    <w:p>
      <w:pPr>
        <w:numPr>
          <w:ilvl w:val="0"/>
          <w:numId w:val="18"/>
        </w:numPr>
        <w:spacing w:after="80" w:line="283" w:lineRule="auto"/>
      </w:pPr>
      <w:r>
        <w:rPr>
          <w:rFonts w:ascii="Arial" w:hAnsi="Arial" w:eastAsia="Arial"/>
          <w:color w:val="162019"/>
          <w:sz w:val="20"/>
        </w:rPr>
        <w:t>garantie de vérité, d’absence de fraude, de sécurité absolue ou de conformité MiCA ;</w:t>
      </w:r>
    </w:p>
    <w:p>
      <w:pPr>
        <w:numPr>
          <w:ilvl w:val="0"/>
          <w:numId w:val="18"/>
        </w:numPr>
        <w:spacing w:after="80" w:line="283" w:lineRule="auto"/>
      </w:pPr>
      <w:r>
        <w:rPr>
          <w:rFonts w:ascii="Arial" w:hAnsi="Arial" w:eastAsia="Arial"/>
          <w:color w:val="162019"/>
          <w:sz w:val="20"/>
        </w:rPr>
        <w:t>transfert automatique de valeur, sanction réelle ou décision produisant un effet juridique ;</w:t>
      </w:r>
    </w:p>
    <w:p>
      <w:pPr>
        <w:numPr>
          <w:ilvl w:val="0"/>
          <w:numId w:val="18"/>
        </w:numPr>
        <w:spacing w:after="80" w:line="283" w:lineRule="auto"/>
      </w:pPr>
      <w:r>
        <w:rPr>
          <w:rFonts w:ascii="Arial" w:hAnsi="Arial" w:eastAsia="Arial"/>
          <w:color w:val="162019"/>
          <w:sz w:val="20"/>
        </w:rPr>
        <w:t>données de catégories particulières, secrets non nécessaires ou identifiants placés on-chain ;</w:t>
      </w:r>
    </w:p>
    <w:p>
      <w:pPr>
        <w:numPr>
          <w:ilvl w:val="0"/>
          <w:numId w:val="18"/>
        </w:numPr>
        <w:spacing w:after="80" w:line="283" w:lineRule="auto"/>
      </w:pPr>
      <w:r>
        <w:rPr>
          <w:rFonts w:ascii="Arial" w:hAnsi="Arial" w:eastAsia="Arial"/>
          <w:color w:val="162019"/>
          <w:sz w:val="20"/>
        </w:rPr>
        <w:t>usage du logo, du nom ou des résultats de l’autre partie sans accord écrit.</w:t>
      </w:r>
    </w:p>
    <w:p>
      <w:r>
        <w:br w:type="page"/>
      </w:r>
    </w:p>
    <w:p>
      <w:pPr>
        <w:keepNext/>
        <w:spacing w:before="440" w:after="100"/>
      </w:pPr>
      <w:r>
        <w:rPr>
          <w:rFonts w:ascii="Arial" w:hAnsi="Arial" w:eastAsia="Arial"/>
          <w:b/>
          <w:color w:val="C6A15B"/>
          <w:sz w:val="16"/>
        </w:rPr>
        <w:t>CHAPITRE 03</w:t>
      </w:r>
    </w:p>
    <w:p>
      <w:pPr>
        <w:pStyle w:val="Heading1"/>
        <w:pageBreakBefore w:val="0"/>
      </w:pPr>
      <w:r>
        <w:t>Obligations des parties</w:t>
      </w:r>
    </w:p>
    <w:tbl>
      <w:tblPr>
        <w:tblStyle w:val="TableGrid"/>
        <w:tblW w:type="dxa" w:w="9500"/>
        <w:jc w:val="left"/>
        <w:tblLayout w:type="fixed"/>
        <w:tblLook w:firstColumn="1" w:firstRow="1" w:lastColumn="0" w:lastRow="0" w:noHBand="0" w:noVBand="1" w:val="04A0"/>
        <w:tblInd w:w="120" w:type="dxa"/>
      </w:tblPr>
      <w:tblGrid>
        <w:gridCol w:w="4750"/>
        <w:gridCol w:w="4750"/>
      </w:tblGrid>
      <w:tr>
        <w:trPr>
          <w:tblHeader w:val="true"/>
          <w:cantSplit/>
        </w:trPr>
        <w:tc>
          <w:tcPr>
            <w:tcW w:type="dxa" w:w="47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Partie Pacturion</w:t>
            </w:r>
          </w:p>
        </w:tc>
        <w:tc>
          <w:tcPr>
            <w:tcW w:type="dxa" w:w="47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Partenaire</w:t>
            </w:r>
          </w:p>
        </w:tc>
      </w:tr>
      <w:tr>
        <w:trPr>
          <w:cantSplit/>
        </w:trPr>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Configurer le workflow approuvé et documenter les hypothèses.</w:t>
            </w:r>
          </w:p>
        </w:tc>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Décrire le workflow, les rôles, les preuves et les exceptions.</w:t>
            </w:r>
          </w:p>
        </w:tc>
      </w:tr>
      <w:tr>
        <w:trPr>
          <w:cantSplit/>
        </w:trPr>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Maintenir le pilote dans l’environnement autorisé.</w:t>
            </w:r>
          </w:p>
        </w:tc>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Fournir uniquement les données autorisées et licites.</w:t>
            </w:r>
          </w:p>
        </w:tc>
      </w:tr>
      <w:tr>
        <w:trPr>
          <w:cantSplit/>
        </w:trPr>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Journaliser tests, écarts, incidents et changements.</w:t>
            </w:r>
          </w:p>
        </w:tc>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Mettre à disposition un décideur et les participants convenus.</w:t>
            </w:r>
          </w:p>
        </w:tc>
      </w:tr>
      <w:tr>
        <w:trPr>
          <w:cantSplit/>
        </w:trPr>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Notifier les incidents et suspendre si une gate échoue.</w:t>
            </w:r>
          </w:p>
        </w:tc>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Signaler sans délai une erreur, exposition ou demande de retrait.</w:t>
            </w:r>
          </w:p>
        </w:tc>
      </w:tr>
      <w:tr>
        <w:trPr>
          <w:cantSplit/>
        </w:trPr>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Produire la restitution et le dossier de résultats.</w:t>
            </w:r>
          </w:p>
        </w:tc>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Relire les constats et rendre une décision écrite de clôture.</w:t>
            </w:r>
          </w:p>
        </w:tc>
      </w:tr>
    </w:tbl>
    <w:p>
      <w:pPr>
        <w:spacing w:after="40"/>
      </w:pPr>
    </w:p>
    <w:p>
      <w:pPr>
        <w:pStyle w:val="Heading2"/>
      </w:pPr>
      <w:r>
        <w:t>Obligation de coopération</w:t>
      </w:r>
    </w:p>
    <w:p>
      <w:pPr>
        <w:spacing w:after="140" w:line="307" w:lineRule="auto"/>
      </w:pPr>
      <w:r>
        <w:rPr>
          <w:rFonts w:ascii="Arial" w:hAnsi="Arial" w:eastAsia="Arial"/>
          <w:i w:val="0"/>
          <w:color w:val="162019"/>
          <w:sz w:val="20"/>
        </w:rPr>
        <w:t>Chaque partie fournit les informations raisonnablement nécessaires, sans devoir révéler des informations hors périmètre. Aucun silence, retard ou échec du prototype ne peut être présenté comme une faute métier sans règle et preuve approuvées à l’annexe A.</w:t>
      </w:r>
    </w:p>
    <w:p>
      <w:pPr>
        <w:pStyle w:val="Heading2"/>
      </w:pPr>
      <w:r>
        <w:t>Absence d’exclusivité</w:t>
      </w:r>
    </w:p>
    <w:p>
      <w:pPr>
        <w:spacing w:after="140" w:line="307" w:lineRule="auto"/>
      </w:pPr>
      <w:r>
        <w:rPr>
          <w:rFonts w:ascii="Arial" w:hAnsi="Arial" w:eastAsia="Arial"/>
          <w:i w:val="0"/>
          <w:color w:val="162019"/>
          <w:sz w:val="20"/>
        </w:rPr>
        <w:t>Le pilote ne crée aucune exclusivité, promesse de commande, partenariat public, société commune, mandat ou relation d’agence.</w:t>
      </w:r>
    </w:p>
    <w:p>
      <w:r>
        <w:br w:type="page"/>
      </w:r>
    </w:p>
    <w:p>
      <w:pPr>
        <w:keepNext/>
        <w:spacing w:before="440" w:after="100"/>
      </w:pPr>
      <w:r>
        <w:rPr>
          <w:rFonts w:ascii="Arial" w:hAnsi="Arial" w:eastAsia="Arial"/>
          <w:b/>
          <w:color w:val="C6A15B"/>
          <w:sz w:val="16"/>
        </w:rPr>
        <w:t>CHAPITRE 04</w:t>
      </w:r>
    </w:p>
    <w:p>
      <w:pPr>
        <w:pStyle w:val="Heading1"/>
        <w:pageBreakBefore w:val="0"/>
      </w:pPr>
      <w:r>
        <w:t>Calendrier, gates et arrêt</w:t>
      </w:r>
    </w:p>
    <w:tbl>
      <w:tblPr>
        <w:tblStyle w:val="TableGrid"/>
        <w:tblW w:type="dxa" w:w="9500"/>
        <w:jc w:val="left"/>
        <w:tblLayout w:type="fixed"/>
        <w:tblLook w:firstColumn="1" w:firstRow="1" w:lastColumn="0" w:lastRow="0" w:noHBand="0" w:noVBand="1" w:val="04A0"/>
        <w:tblInd w:w="120" w:type="dxa"/>
      </w:tblPr>
      <w:tblGrid>
        <w:gridCol w:w="1300"/>
        <w:gridCol w:w="5400"/>
        <w:gridCol w:w="28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Gate</w:t>
            </w:r>
          </w:p>
        </w:tc>
        <w:tc>
          <w:tcPr>
            <w:tcW w:type="dxa" w:w="5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Condition</w:t>
            </w:r>
          </w:p>
        </w:tc>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G0</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Parties et signataires identifiés</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 HOLD</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G1</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Workflow et cinq cas approuvés</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 PIVOT / STOP</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G2</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 et sécurité validées</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 HOLD</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G3</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Environnement, versions et preuves réconciliés</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 HOLD</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G4</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Exécution et anomalies documentées</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 PIVOT / STOP</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G5</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Restitution contradictoire</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GO / PIVOT / NO-GO</w:t>
            </w:r>
          </w:p>
        </w:tc>
      </w:tr>
    </w:tbl>
    <w:p>
      <w:pPr>
        <w:spacing w:after="40"/>
      </w:pPr>
    </w:p>
    <w:p>
      <w:pPr>
        <w:pStyle w:val="Heading2"/>
      </w:pPr>
      <w:r>
        <w:t>Durée</w:t>
      </w:r>
    </w:p>
    <w:p>
      <w:pPr>
        <w:spacing w:after="140" w:line="307" w:lineRule="auto"/>
      </w:pPr>
      <w:r>
        <w:rPr>
          <w:rFonts w:ascii="Arial" w:hAnsi="Arial" w:eastAsia="Arial"/>
          <w:i w:val="0"/>
          <w:color w:val="162019"/>
          <w:sz w:val="20"/>
        </w:rPr>
        <w:t>Le pilote est prévu pour quatre semaines à compter du [DATE]. Toute prolongation doit être écrite et ne peut élargir implicitement le périmètre.</w:t>
      </w:r>
    </w:p>
    <w:p>
      <w:pPr>
        <w:pStyle w:val="Heading2"/>
      </w:pPr>
      <w:r>
        <w:t>Suspension immédiate</w:t>
      </w:r>
    </w:p>
    <w:p>
      <w:pPr>
        <w:numPr>
          <w:ilvl w:val="0"/>
          <w:numId w:val="19"/>
        </w:numPr>
        <w:spacing w:after="80" w:line="283" w:lineRule="auto"/>
      </w:pPr>
      <w:r>
        <w:rPr>
          <w:rFonts w:ascii="Arial" w:hAnsi="Arial" w:eastAsia="Arial"/>
          <w:color w:val="162019"/>
          <w:sz w:val="20"/>
        </w:rPr>
        <w:t>donnée non autorisée ou secret exposé ;</w:t>
      </w:r>
    </w:p>
    <w:p>
      <w:pPr>
        <w:numPr>
          <w:ilvl w:val="0"/>
          <w:numId w:val="19"/>
        </w:numPr>
        <w:spacing w:after="80" w:line="283" w:lineRule="auto"/>
      </w:pPr>
      <w:r>
        <w:rPr>
          <w:rFonts w:ascii="Arial" w:hAnsi="Arial" w:eastAsia="Arial"/>
          <w:color w:val="162019"/>
          <w:sz w:val="20"/>
        </w:rPr>
        <w:t>demande de fonds réels ou de mainnet ;</w:t>
      </w:r>
    </w:p>
    <w:p>
      <w:pPr>
        <w:numPr>
          <w:ilvl w:val="0"/>
          <w:numId w:val="19"/>
        </w:numPr>
        <w:spacing w:after="80" w:line="283" w:lineRule="auto"/>
      </w:pPr>
      <w:r>
        <w:rPr>
          <w:rFonts w:ascii="Arial" w:hAnsi="Arial" w:eastAsia="Arial"/>
          <w:color w:val="162019"/>
          <w:sz w:val="20"/>
        </w:rPr>
        <w:t>incident de sécurité non contenu ;</w:t>
      </w:r>
    </w:p>
    <w:p>
      <w:pPr>
        <w:numPr>
          <w:ilvl w:val="0"/>
          <w:numId w:val="19"/>
        </w:numPr>
        <w:spacing w:after="80" w:line="283" w:lineRule="auto"/>
      </w:pPr>
      <w:r>
        <w:rPr>
          <w:rFonts w:ascii="Arial" w:hAnsi="Arial" w:eastAsia="Arial"/>
          <w:color w:val="162019"/>
          <w:sz w:val="20"/>
        </w:rPr>
        <w:t>absence de décideur ou de preuve minimale ;</w:t>
      </w:r>
    </w:p>
    <w:p>
      <w:pPr>
        <w:numPr>
          <w:ilvl w:val="0"/>
          <w:numId w:val="19"/>
        </w:numPr>
        <w:spacing w:after="80" w:line="283" w:lineRule="auto"/>
      </w:pPr>
      <w:r>
        <w:rPr>
          <w:rFonts w:ascii="Arial" w:hAnsi="Arial" w:eastAsia="Arial"/>
          <w:color w:val="162019"/>
          <w:sz w:val="20"/>
        </w:rPr>
        <w:t>allégation publique non approuvée.</w:t>
      </w:r>
    </w:p>
    <w:p>
      <w:r>
        <w:br w:type="page"/>
      </w:r>
    </w:p>
    <w:p>
      <w:pPr>
        <w:keepNext/>
        <w:spacing w:before="440" w:after="100"/>
      </w:pPr>
      <w:r>
        <w:rPr>
          <w:rFonts w:ascii="Arial" w:hAnsi="Arial" w:eastAsia="Arial"/>
          <w:b/>
          <w:color w:val="C6A15B"/>
          <w:sz w:val="16"/>
        </w:rPr>
        <w:t>CHAPITRE 05</w:t>
      </w:r>
    </w:p>
    <w:p>
      <w:pPr>
        <w:pStyle w:val="Heading1"/>
        <w:pageBreakBefore w:val="0"/>
      </w:pPr>
      <w:r>
        <w:t>Confidentialité et communication</w:t>
      </w:r>
    </w:p>
    <w:p>
      <w:pPr>
        <w:pStyle w:val="Heading2"/>
      </w:pPr>
      <w:r>
        <w:t>Informations confidentielles</w:t>
      </w:r>
    </w:p>
    <w:p>
      <w:pPr>
        <w:spacing w:after="140" w:line="307" w:lineRule="auto"/>
      </w:pPr>
      <w:r>
        <w:rPr>
          <w:rFonts w:ascii="Arial" w:hAnsi="Arial" w:eastAsia="Arial"/>
          <w:i w:val="0"/>
          <w:color w:val="162019"/>
          <w:sz w:val="20"/>
        </w:rPr>
        <w:t>Sont confidentielles les informations identifiées comme telles ou dont la nature et les circonstances rendent raisonnablement le caractère confidentiel évident : code non public, architectures, vulnérabilités, données métier, prix, contacts, résultats non publiés et secrets d’affaires.</w:t>
      </w:r>
    </w:p>
    <w:p>
      <w:pPr>
        <w:pStyle w:val="Heading2"/>
      </w:pPr>
      <w:r>
        <w:t>Usage et protection</w:t>
      </w:r>
    </w:p>
    <w:p>
      <w:pPr>
        <w:numPr>
          <w:ilvl w:val="0"/>
          <w:numId w:val="20"/>
        </w:numPr>
        <w:spacing w:after="80" w:line="283" w:lineRule="auto"/>
      </w:pPr>
      <w:r>
        <w:rPr>
          <w:rFonts w:ascii="Arial" w:hAnsi="Arial" w:eastAsia="Arial"/>
          <w:color w:val="162019"/>
          <w:sz w:val="20"/>
        </w:rPr>
        <w:t>utilisation limitée à l’exécution du pilote ;</w:t>
      </w:r>
    </w:p>
    <w:p>
      <w:pPr>
        <w:numPr>
          <w:ilvl w:val="0"/>
          <w:numId w:val="20"/>
        </w:numPr>
        <w:spacing w:after="80" w:line="283" w:lineRule="auto"/>
      </w:pPr>
      <w:r>
        <w:rPr>
          <w:rFonts w:ascii="Arial" w:hAnsi="Arial" w:eastAsia="Arial"/>
          <w:color w:val="162019"/>
          <w:sz w:val="20"/>
        </w:rPr>
        <w:t>accès selon le besoin d’en connaître ;</w:t>
      </w:r>
    </w:p>
    <w:p>
      <w:pPr>
        <w:numPr>
          <w:ilvl w:val="0"/>
          <w:numId w:val="20"/>
        </w:numPr>
        <w:spacing w:after="80" w:line="283" w:lineRule="auto"/>
      </w:pPr>
      <w:r>
        <w:rPr>
          <w:rFonts w:ascii="Arial" w:hAnsi="Arial" w:eastAsia="Arial"/>
          <w:color w:val="162019"/>
          <w:sz w:val="20"/>
        </w:rPr>
        <w:t>mesures de protection au moins équivalentes à celles appliquées aux informations sensibles propres ;</w:t>
      </w:r>
    </w:p>
    <w:p>
      <w:pPr>
        <w:numPr>
          <w:ilvl w:val="0"/>
          <w:numId w:val="20"/>
        </w:numPr>
        <w:spacing w:after="80" w:line="283" w:lineRule="auto"/>
      </w:pPr>
      <w:r>
        <w:rPr>
          <w:rFonts w:ascii="Arial" w:hAnsi="Arial" w:eastAsia="Arial"/>
          <w:color w:val="162019"/>
          <w:sz w:val="20"/>
        </w:rPr>
        <w:t>notification rapide de tout accès ou divulgation non autorisé ;</w:t>
      </w:r>
    </w:p>
    <w:p>
      <w:pPr>
        <w:numPr>
          <w:ilvl w:val="0"/>
          <w:numId w:val="20"/>
        </w:numPr>
        <w:spacing w:after="80" w:line="283" w:lineRule="auto"/>
      </w:pPr>
      <w:r>
        <w:rPr>
          <w:rFonts w:ascii="Arial" w:hAnsi="Arial" w:eastAsia="Arial"/>
          <w:color w:val="162019"/>
          <w:sz w:val="20"/>
        </w:rPr>
        <w:t>restitution ou suppression à la clôture, sous réserve des obligations légales et preuves contractuelles nécessaires.</w:t>
      </w:r>
    </w:p>
    <w:p>
      <w:pPr>
        <w:pStyle w:val="Heading2"/>
      </w:pPr>
      <w:r>
        <w:t>Durée et exceptions</w:t>
      </w:r>
    </w:p>
    <w:p>
      <w:pPr>
        <w:spacing w:after="140" w:line="307" w:lineRule="auto"/>
      </w:pPr>
      <w:r>
        <w:rPr>
          <w:rFonts w:ascii="Arial" w:hAnsi="Arial" w:eastAsia="Arial"/>
          <w:i w:val="0"/>
          <w:color w:val="162019"/>
          <w:sz w:val="20"/>
        </w:rPr>
        <w:t>La durée de confidentialité est fixée à [3 / 5] ans après la clôture. Pour les secrets d’affaires répondant aux conditions légales, la protection subsiste tant que ces conditions demeurent réunies. Les informations publiques, déjà licitement connues, reçues licitement d’un tiers ou développées indépendamment sont exclues.</w:t>
      </w:r>
    </w:p>
    <w:p>
      <w:pPr>
        <w:pStyle w:val="Heading2"/>
      </w:pPr>
      <w:r>
        <w:t>Publicité</w:t>
      </w:r>
    </w:p>
    <w:p>
      <w:pPr>
        <w:spacing w:after="140" w:line="307" w:lineRule="auto"/>
      </w:pPr>
      <w:r>
        <w:rPr>
          <w:rFonts w:ascii="Arial" w:hAnsi="Arial" w:eastAsia="Arial"/>
          <w:i w:val="0"/>
          <w:color w:val="162019"/>
          <w:sz w:val="20"/>
        </w:rPr>
        <w:t>Aucune partie ne peut utiliser le nom, la marque, le logo, une citation ou un résultat attribuable à l’autre sans autorisation écrite précisant le support, le texte, les chiffres, la durée et le droit de retrait.</w:t>
      </w:r>
    </w:p>
    <w:p>
      <w:r>
        <w:br w:type="page"/>
      </w:r>
    </w:p>
    <w:p>
      <w:pPr>
        <w:keepNext/>
        <w:spacing w:before="440" w:after="100"/>
      </w:pPr>
      <w:r>
        <w:rPr>
          <w:rFonts w:ascii="Arial" w:hAnsi="Arial" w:eastAsia="Arial"/>
          <w:b/>
          <w:color w:val="C6A15B"/>
          <w:sz w:val="16"/>
        </w:rPr>
        <w:t>CHAPITRE 06</w:t>
      </w:r>
    </w:p>
    <w:p>
      <w:pPr>
        <w:pStyle w:val="Heading1"/>
        <w:pageBreakBefore w:val="0"/>
      </w:pPr>
      <w:r>
        <w:t>Données personnelles et sécurité</w:t>
      </w:r>
    </w:p>
    <w:p>
      <w:pPr>
        <w:pStyle w:val="Heading2"/>
      </w:pPr>
      <w:r>
        <w:t>Doctrine</w:t>
      </w:r>
    </w:p>
    <w:p>
      <w:pPr>
        <w:spacing w:after="140" w:line="307" w:lineRule="auto"/>
      </w:pPr>
      <w:r>
        <w:rPr>
          <w:rFonts w:ascii="Arial" w:hAnsi="Arial" w:eastAsia="Arial"/>
          <w:i w:val="0"/>
          <w:color w:val="162019"/>
          <w:sz w:val="20"/>
        </w:rPr>
        <w:t>Le pilote applique la minimisation : aucune donnée personnelle n’est collectée ou copiée si le test peut être exécuté avec des données synthétiques ou anonymisées. Aucune donnée directement identifiante n’est inscrite sur une blockchain.</w:t>
      </w:r>
    </w:p>
    <w:tbl>
      <w:tblPr>
        <w:tblStyle w:val="TableGrid"/>
        <w:tblW w:type="dxa" w:w="9500"/>
        <w:jc w:val="left"/>
        <w:tblLayout w:type="fixed"/>
        <w:tblLook w:firstColumn="1" w:firstRow="1" w:lastColumn="0" w:lastRow="0" w:noHBand="0" w:noVBand="1" w:val="04A0"/>
        <w:tblInd w:w="120" w:type="dxa"/>
      </w:tblPr>
      <w:tblGrid>
        <w:gridCol w:w="2500"/>
        <w:gridCol w:w="70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Point</w:t>
            </w:r>
          </w:p>
        </w:tc>
        <w:tc>
          <w:tcPr>
            <w:tcW w:type="dxa" w:w="70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Décision à documenter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Finalité</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[DESCRIPTION PRÉCISE]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Base juridique</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QUALIFIER]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Rôles</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 SOUS-TRAITANT / RESPONSABLES DISTINCTS]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Catégories</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STRICTEMENT NÉCESSAIRES]</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Personnes</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[CATÉGORIES]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Localisation</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[HÉBERGEMENT / TRANSFERTS]</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Durée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[DURÉE + SUPPRESSION]</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Droits</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[POINT DE CONTACT ET PROCESSUS]</w:t>
            </w:r>
          </w:p>
        </w:tc>
      </w:tr>
    </w:tbl>
    <w:p>
      <w:pPr>
        <w:spacing w:after="40"/>
      </w:pPr>
    </w:p>
    <w:p>
      <w:pPr>
        <w:pStyle w:val="Heading2"/>
      </w:pPr>
      <w:r>
        <w:t>Article 28</w:t>
      </w:r>
    </w:p>
    <w:p>
      <w:pPr>
        <w:spacing w:after="140" w:line="307" w:lineRule="auto"/>
      </w:pPr>
      <w:r>
        <w:rPr>
          <w:rFonts w:ascii="Arial" w:hAnsi="Arial" w:eastAsia="Arial"/>
          <w:i w:val="0"/>
          <w:color w:val="162019"/>
          <w:sz w:val="20"/>
        </w:rPr>
        <w:t>Si Pacturion traite des données personnelles pour le compte du Partenaire, une annexe conforme à l’article 28 du RGPD doit préciser notamment l’objet, la durée, la nature, la finalité, les catégories, les instructions, la confidentialité, la sécurité, les sous-traitants ultérieurs, l’assistance, la suppression et l’audit. Le présent paragraphe ne remplace pas cette annexe.</w:t>
      </w:r>
    </w:p>
    <w:p>
      <w:r>
        <w:br w:type="page"/>
      </w:r>
    </w:p>
    <w:p>
      <w:pPr>
        <w:keepNext/>
        <w:spacing w:before="440" w:after="100"/>
      </w:pPr>
      <w:r>
        <w:rPr>
          <w:rFonts w:ascii="Arial" w:hAnsi="Arial" w:eastAsia="Arial"/>
          <w:b/>
          <w:color w:val="C6A15B"/>
          <w:sz w:val="16"/>
        </w:rPr>
        <w:t>CHAPITRE 07</w:t>
      </w:r>
    </w:p>
    <w:p>
      <w:pPr>
        <w:pStyle w:val="Heading1"/>
        <w:pageBreakBefore w:val="0"/>
      </w:pPr>
      <w:r>
        <w:t>Propriété intellectuelle et résultats</w:t>
      </w:r>
    </w:p>
    <w:p>
      <w:pPr>
        <w:pStyle w:val="Heading2"/>
      </w:pPr>
      <w:r>
        <w:t>Éléments antérieurs</w:t>
      </w:r>
    </w:p>
    <w:p>
      <w:pPr>
        <w:spacing w:after="140" w:line="307" w:lineRule="auto"/>
      </w:pPr>
      <w:r>
        <w:rPr>
          <w:rFonts w:ascii="Arial" w:hAnsi="Arial" w:eastAsia="Arial"/>
          <w:i w:val="0"/>
          <w:color w:val="162019"/>
          <w:sz w:val="20"/>
        </w:rPr>
        <w:t>Chaque partie conserve ses droits sur ses méthodes, logiciels, documents, marques, données et savoir-faire antérieurs ou développés indépendamment. Aucun transfert n’est implicite.</w:t>
      </w:r>
    </w:p>
    <w:p>
      <w:pPr>
        <w:pStyle w:val="Heading2"/>
      </w:pPr>
      <w:r>
        <w:t>Licence limitée pour le pilote</w:t>
      </w:r>
    </w:p>
    <w:p>
      <w:pPr>
        <w:spacing w:after="140" w:line="307" w:lineRule="auto"/>
      </w:pPr>
      <w:r>
        <w:rPr>
          <w:rFonts w:ascii="Arial" w:hAnsi="Arial" w:eastAsia="Arial"/>
          <w:i w:val="0"/>
          <w:color w:val="162019"/>
          <w:sz w:val="20"/>
        </w:rPr>
        <w:t>Chaque partie accorde à l’autre, pour la durée et le seul besoin du pilote, une autorisation non exclusive, non transférable et révocable d’utiliser les éléments listés à l’annexe A. Aucun droit de commercialisation, sous-licence, publication ou entraînement d’un modèle n’est accordé sans écrit distinct.</w:t>
      </w:r>
    </w:p>
    <w:p>
      <w:pPr>
        <w:pStyle w:val="Heading2"/>
      </w:pPr>
      <w:r>
        <w:t>Résultats</w:t>
      </w:r>
    </w:p>
    <w:tbl>
      <w:tblPr>
        <w:tblStyle w:val="TableGrid"/>
        <w:tblW w:type="dxa" w:w="9500"/>
        <w:jc w:val="left"/>
        <w:tblLayout w:type="fixed"/>
        <w:tblLook w:firstColumn="1" w:firstRow="1" w:lastColumn="0" w:lastRow="0" w:noHBand="0" w:noVBand="1" w:val="04A0"/>
        <w:tblInd w:w="120" w:type="dxa"/>
      </w:tblPr>
      <w:tblGrid>
        <w:gridCol w:w="3100"/>
        <w:gridCol w:w="6400"/>
      </w:tblGrid>
      <w:tr>
        <w:trPr>
          <w:tblHeader w:val="true"/>
          <w:cantSplit/>
        </w:trPr>
        <w:tc>
          <w:tcPr>
            <w:tcW w:type="dxa" w:w="3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Catégorie</w:t>
            </w:r>
          </w:p>
        </w:tc>
        <w:tc>
          <w:tcPr>
            <w:tcW w:type="dxa" w:w="6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Règle proposée</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Code et plateforme Pacturion</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Demeurent à la Partie Pacturion, sous réserve des composants tiers</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 et processus du Partenaire</w:t>
            </w:r>
          </w:p>
        </w:tc>
        <w:tc>
          <w:tcPr>
            <w:tcW w:type="dxa" w:w="6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Demeurent au Partenaire</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Configuration spécifique</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Droits et réutilisation à préciser dans l’annexe A</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Rapport factuel conjoint</w:t>
            </w:r>
          </w:p>
        </w:tc>
        <w:tc>
          <w:tcPr>
            <w:tcW w:type="dxa" w:w="6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Utilisation interne par chaque partie ; publication seulement sur accord</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Retours génériques</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Pacturion peut les utiliser sous forme non attribuable et sans secret du Partenaire</w:t>
            </w:r>
          </w:p>
        </w:tc>
      </w:tr>
    </w:tbl>
    <w:p>
      <w:pPr>
        <w:spacing w:after="40"/>
      </w:pPr>
    </w:p>
    <w:p>
      <w:pPr>
        <w:pStyle w:val="Heading2"/>
      </w:pPr>
      <w:r>
        <w:t>Aucune licence sur la marque</w:t>
      </w:r>
    </w:p>
    <w:p>
      <w:pPr>
        <w:spacing w:after="140" w:line="307" w:lineRule="auto"/>
      </w:pPr>
      <w:r>
        <w:rPr>
          <w:rFonts w:ascii="Arial" w:hAnsi="Arial" w:eastAsia="Arial"/>
          <w:i w:val="0"/>
          <w:color w:val="162019"/>
          <w:sz w:val="20"/>
        </w:rPr>
        <w:t>Les marques Pacturion et VERIDIA, comme celles du Partenaire, ne sont jamais concédées implicitement.</w:t>
      </w:r>
    </w:p>
    <w:p>
      <w:r>
        <w:br w:type="page"/>
      </w:r>
    </w:p>
    <w:p>
      <w:pPr>
        <w:keepNext/>
        <w:spacing w:before="440" w:after="100"/>
      </w:pPr>
      <w:r>
        <w:rPr>
          <w:rFonts w:ascii="Arial" w:hAnsi="Arial" w:eastAsia="Arial"/>
          <w:b/>
          <w:color w:val="C6A15B"/>
          <w:sz w:val="16"/>
        </w:rPr>
        <w:t>CHAPITRE 08</w:t>
      </w:r>
    </w:p>
    <w:p>
      <w:pPr>
        <w:pStyle w:val="Heading1"/>
        <w:pageBreakBefore w:val="0"/>
      </w:pPr>
      <w:r>
        <w:t>Conditions financières, garanties et responsabilité</w:t>
      </w:r>
    </w:p>
    <w:p>
      <w:pPr>
        <w:pStyle w:val="Heading2"/>
      </w:pPr>
      <w:r>
        <w:t>Premier pilote</w:t>
      </w:r>
    </w:p>
    <w:p>
      <w:pPr>
        <w:spacing w:after="140" w:line="307" w:lineRule="auto"/>
      </w:pPr>
      <w:r>
        <w:rPr>
          <w:rFonts w:ascii="Arial" w:hAnsi="Arial" w:eastAsia="Arial"/>
          <w:i w:val="0"/>
          <w:color w:val="162019"/>
          <w:sz w:val="20"/>
        </w:rPr>
        <w:t>Sauf annexe contraire, aucun frais de licence n’est facturé ; chaque partie supporte son temps, ses équipements et ses coûts. Les dépenses externes nécessitent une approbation écrite préalable.</w:t>
      </w:r>
    </w:p>
    <w:p>
      <w:pPr>
        <w:pStyle w:val="Heading2"/>
      </w:pPr>
      <w:r>
        <w:t>Prototype et absence de garantie</w:t>
      </w:r>
    </w:p>
    <w:p>
      <w:pPr>
        <w:spacing w:after="140" w:line="307" w:lineRule="auto"/>
      </w:pPr>
      <w:r>
        <w:rPr>
          <w:rFonts w:ascii="Arial" w:hAnsi="Arial" w:eastAsia="Arial"/>
          <w:i w:val="0"/>
          <w:color w:val="162019"/>
          <w:sz w:val="20"/>
        </w:rPr>
        <w:t>Le pilote est fourni à des fins d’évaluation. Pacturion ne garantit ni disponibilité continue, ni absence d’erreur, ni adéquation à un usage particulier, ni résultat commercial, juridique ou réglementaire. Cette clause s’applique dans les limites permises par le droit applicable.</w:t>
      </w:r>
    </w:p>
    <w:p>
      <w:pPr>
        <w:pStyle w:val="Heading2"/>
      </w:pPr>
      <w:r>
        <w:t>Responsabilité</w:t>
      </w:r>
    </w:p>
    <w:p>
      <w:pPr>
        <w:spacing w:after="140" w:line="307" w:lineRule="auto"/>
      </w:pPr>
      <w:r>
        <w:rPr>
          <w:rFonts w:ascii="Arial" w:hAnsi="Arial" w:eastAsia="Arial"/>
          <w:i w:val="0"/>
          <w:color w:val="162019"/>
          <w:sz w:val="20"/>
        </w:rPr>
        <w:t>Chaque partie répond de ses manquements, fautes et données. Sous réserve des responsabilités qui ne peuvent légalement être limitées, les dommages indirects sont exclus et la responsabilité globale de chaque partie est plafonnée à [MONTANT À FIXER APRÈS ANALYSE DU RISQUE ET DE L’ASSURANCE]. Un plafond nul n’est pas retenu par défaut.</w:t>
      </w:r>
    </w:p>
    <w:p>
      <w:pPr>
        <w:pStyle w:val="Heading2"/>
      </w:pPr>
      <w:r>
        <w:t>Assurance</w:t>
      </w:r>
    </w:p>
    <w:p>
      <w:pPr>
        <w:spacing w:after="140" w:line="307" w:lineRule="auto"/>
      </w:pPr>
      <w:r>
        <w:rPr>
          <w:rFonts w:ascii="Arial" w:hAnsi="Arial" w:eastAsia="Arial"/>
          <w:i w:val="0"/>
          <w:color w:val="162019"/>
          <w:sz w:val="20"/>
        </w:rPr>
        <w:t>Chaque partie déclare disposer ou décider avant signature du niveau d’assurance adapté à ses obligations. Référence des polices : [À COMPLÉTER].</w:t>
      </w:r>
    </w:p>
    <w:p>
      <w:r>
        <w:br w:type="page"/>
      </w:r>
    </w:p>
    <w:p>
      <w:pPr>
        <w:keepNext/>
        <w:spacing w:before="440" w:after="100"/>
      </w:pPr>
      <w:r>
        <w:rPr>
          <w:rFonts w:ascii="Arial" w:hAnsi="Arial" w:eastAsia="Arial"/>
          <w:b/>
          <w:color w:val="C6A15B"/>
          <w:sz w:val="16"/>
        </w:rPr>
        <w:t>CHAPITRE 09</w:t>
      </w:r>
    </w:p>
    <w:p>
      <w:pPr>
        <w:pStyle w:val="Heading1"/>
        <w:pageBreakBefore w:val="0"/>
      </w:pPr>
      <w:r>
        <w:t>Clôture, droit applicable et signatures</w:t>
      </w:r>
    </w:p>
    <w:p>
      <w:pPr>
        <w:pStyle w:val="Heading2"/>
      </w:pPr>
      <w:r>
        <w:t>Clôture</w:t>
      </w:r>
    </w:p>
    <w:p>
      <w:pPr>
        <w:numPr>
          <w:ilvl w:val="0"/>
          <w:numId w:val="21"/>
        </w:numPr>
        <w:spacing w:after="80" w:line="283" w:lineRule="auto"/>
      </w:pPr>
      <w:r>
        <w:rPr>
          <w:rFonts w:ascii="Arial" w:hAnsi="Arial" w:eastAsia="Arial"/>
          <w:color w:val="162019"/>
          <w:sz w:val="20"/>
        </w:rPr>
        <w:t>désactivation des accès et secrets temporaires ;</w:t>
      </w:r>
    </w:p>
    <w:p>
      <w:pPr>
        <w:numPr>
          <w:ilvl w:val="0"/>
          <w:numId w:val="21"/>
        </w:numPr>
        <w:spacing w:after="80" w:line="283" w:lineRule="auto"/>
      </w:pPr>
      <w:r>
        <w:rPr>
          <w:rFonts w:ascii="Arial" w:hAnsi="Arial" w:eastAsia="Arial"/>
          <w:color w:val="162019"/>
          <w:sz w:val="20"/>
        </w:rPr>
        <w:t>suppression ou restitution des données ;</w:t>
      </w:r>
    </w:p>
    <w:p>
      <w:pPr>
        <w:numPr>
          <w:ilvl w:val="0"/>
          <w:numId w:val="21"/>
        </w:numPr>
        <w:spacing w:after="80" w:line="283" w:lineRule="auto"/>
      </w:pPr>
      <w:r>
        <w:rPr>
          <w:rFonts w:ascii="Arial" w:hAnsi="Arial" w:eastAsia="Arial"/>
          <w:color w:val="162019"/>
          <w:sz w:val="20"/>
        </w:rPr>
        <w:t>gel du registre de preuves ;</w:t>
      </w:r>
    </w:p>
    <w:p>
      <w:pPr>
        <w:numPr>
          <w:ilvl w:val="0"/>
          <w:numId w:val="21"/>
        </w:numPr>
        <w:spacing w:after="80" w:line="283" w:lineRule="auto"/>
      </w:pPr>
      <w:r>
        <w:rPr>
          <w:rFonts w:ascii="Arial" w:hAnsi="Arial" w:eastAsia="Arial"/>
          <w:color w:val="162019"/>
          <w:sz w:val="20"/>
        </w:rPr>
        <w:t>rapport d’écarts et incidents ;</w:t>
      </w:r>
    </w:p>
    <w:p>
      <w:pPr>
        <w:numPr>
          <w:ilvl w:val="0"/>
          <w:numId w:val="21"/>
        </w:numPr>
        <w:spacing w:after="80" w:line="283" w:lineRule="auto"/>
      </w:pPr>
      <w:r>
        <w:rPr>
          <w:rFonts w:ascii="Arial" w:hAnsi="Arial" w:eastAsia="Arial"/>
          <w:color w:val="162019"/>
          <w:sz w:val="20"/>
        </w:rPr>
        <w:t>décision GO/PIVOT/NO-GO signée ;</w:t>
      </w:r>
    </w:p>
    <w:p>
      <w:pPr>
        <w:numPr>
          <w:ilvl w:val="0"/>
          <w:numId w:val="21"/>
        </w:numPr>
        <w:spacing w:after="80" w:line="283" w:lineRule="auto"/>
      </w:pPr>
      <w:r>
        <w:rPr>
          <w:rFonts w:ascii="Arial" w:hAnsi="Arial" w:eastAsia="Arial"/>
          <w:color w:val="162019"/>
          <w:sz w:val="20"/>
        </w:rPr>
        <w:t>liste des obligations survivantes.</w:t>
      </w:r>
    </w:p>
    <w:p>
      <w:pPr>
        <w:pStyle w:val="Heading2"/>
      </w:pPr>
      <w:r>
        <w:t>Droit et litiges</w:t>
      </w:r>
    </w:p>
    <w:p>
      <w:pPr>
        <w:spacing w:after="140" w:line="307" w:lineRule="auto"/>
      </w:pPr>
      <w:r>
        <w:rPr>
          <w:rFonts w:ascii="Arial" w:hAnsi="Arial" w:eastAsia="Arial"/>
          <w:i w:val="0"/>
          <w:color w:val="162019"/>
          <w:sz w:val="20"/>
        </w:rPr>
        <w:t>Droit applicable : [FRANCE / AUTRE À VALIDER]. Les parties tentent une résolution amiable pendant [30] jours après notification écrite. Juridiction compétente ou médiation : [À COMPLÉTER APRÈS CONSEIL JURIDIQUE].</w:t>
      </w:r>
    </w:p>
    <w:tbl>
      <w:tblPr>
        <w:tblStyle w:val="TableGrid"/>
        <w:tblW w:type="dxa" w:w="9500"/>
        <w:jc w:val="left"/>
        <w:tblLayout w:type="fixed"/>
        <w:tblLook w:firstColumn="1" w:firstRow="1" w:lastColumn="0" w:lastRow="0" w:noHBand="0" w:noVBand="1" w:val="04A0"/>
        <w:tblInd w:w="120" w:type="dxa"/>
      </w:tblPr>
      <w:tblGrid>
        <w:gridCol w:w="4750"/>
        <w:gridCol w:w="4750"/>
      </w:tblGrid>
      <w:tr>
        <w:trPr>
          <w:tblHeader w:val="true"/>
          <w:cantSplit/>
        </w:trPr>
        <w:tc>
          <w:tcPr>
            <w:tcW w:type="dxa" w:w="475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Pour la Partie Pacturion</w:t>
            </w:r>
          </w:p>
        </w:tc>
        <w:tc>
          <w:tcPr>
            <w:tcW w:type="dxa" w:w="475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Pour le Partenaire</w:t>
            </w:r>
          </w:p>
        </w:tc>
      </w:tr>
      <w:tr>
        <w:trPr>
          <w:cantSplit/>
        </w:trPr>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Nom : [À COMPLÉTER]</w:t>
            </w:r>
          </w:p>
        </w:tc>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Nom : [À COMPLÉTER]</w:t>
            </w:r>
          </w:p>
        </w:tc>
      </w:tr>
      <w:tr>
        <w:trPr>
          <w:cantSplit/>
        </w:trPr>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Qualité : [À COMPLÉTER]</w:t>
            </w:r>
          </w:p>
        </w:tc>
        <w:tc>
          <w:tcPr>
            <w:tcW w:type="dxa" w:w="4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Qualité : [À COMPLÉTER]</w:t>
            </w:r>
          </w:p>
        </w:tc>
      </w:tr>
      <w:tr>
        <w:trPr>
          <w:cantSplit/>
        </w:trPr>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Date / signature :</w:t>
            </w:r>
          </w:p>
        </w:tc>
        <w:tc>
          <w:tcPr>
            <w:tcW w:type="dxa" w:w="4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Date / signature :</w:t>
            </w:r>
          </w:p>
        </w:tc>
      </w:tr>
    </w:tbl>
    <w:p>
      <w:pPr>
        <w:spacing w:after="40"/>
      </w:pPr>
    </w:p>
    <w:p>
      <w:r>
        <w:br w:type="page"/>
      </w:r>
    </w:p>
    <w:p>
      <w:pPr>
        <w:keepNext/>
        <w:spacing w:before="440" w:after="100"/>
      </w:pPr>
      <w:r>
        <w:rPr>
          <w:rFonts w:ascii="Arial" w:hAnsi="Arial" w:eastAsia="Arial"/>
          <w:b/>
          <w:color w:val="C6A15B"/>
          <w:sz w:val="16"/>
        </w:rPr>
        <w:t>CHAPITRE A</w:t>
      </w:r>
    </w:p>
    <w:p>
      <w:pPr>
        <w:pStyle w:val="Heading1"/>
        <w:pageBreakBefore w:val="0"/>
      </w:pPr>
      <w:r>
        <w:t>Annexes opérationnelles</w:t>
      </w:r>
    </w:p>
    <w:p>
      <w:pPr>
        <w:pStyle w:val="Heading2"/>
      </w:pPr>
      <w:r>
        <w:t>Annexe A — Périmètre et critères</w:t>
      </w:r>
    </w:p>
    <w:tbl>
      <w:tblPr>
        <w:tblStyle w:val="TableGrid"/>
        <w:tblW w:type="dxa" w:w="9500"/>
        <w:jc w:val="left"/>
        <w:tblLayout w:type="fixed"/>
        <w:tblLook w:firstColumn="1" w:firstRow="1" w:lastColumn="0" w:lastRow="0" w:noHBand="0" w:noVBand="1" w:val="04A0"/>
        <w:tblInd w:w="120" w:type="dxa"/>
      </w:tblPr>
      <w:tblGrid>
        <w:gridCol w:w="3000"/>
        <w:gridCol w:w="65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 approuvée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Workflow</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COMPLÉTER]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Acteurs</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COMPLÉTER]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Cinq cas</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COMPLÉTER]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 admissibles</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COMPLÉTER]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Règles et exceptions</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COMPLÉTER]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Critères de succès</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COMPLÉTER]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Critères d’arrêt</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COMPLÉTER]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Versions techniques</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COMPLÉTER]</w:t>
            </w:r>
          </w:p>
        </w:tc>
      </w:tr>
    </w:tbl>
    <w:p>
      <w:pPr>
        <w:spacing w:after="40"/>
      </w:pPr>
    </w:p>
    <w:p>
      <w:pPr>
        <w:pStyle w:val="Heading2"/>
      </w:pPr>
      <w:r>
        <w:t>Annexe B — Données et sécurité</w:t>
      </w:r>
    </w:p>
    <w:p>
      <w:pPr>
        <w:spacing w:after="140" w:line="307" w:lineRule="auto"/>
      </w:pPr>
      <w:r>
        <w:rPr>
          <w:rFonts w:ascii="Arial" w:hAnsi="Arial" w:eastAsia="Arial"/>
          <w:i w:val="0"/>
          <w:color w:val="162019"/>
          <w:sz w:val="20"/>
        </w:rPr>
        <w:t>Compléter le registre de traitement, les catégories, la base juridique, les accès, le chiffrement, l’hébergement, les sous-traitants, la durée, la suppression, les incidents et les demandes de droits.</w:t>
      </w:r>
    </w:p>
    <w:p>
      <w:pPr>
        <w:pStyle w:val="Heading2"/>
      </w:pPr>
      <w:r>
        <w:t>Annexe C — RACI et calendrier</w:t>
      </w:r>
    </w:p>
    <w:tbl>
      <w:tblPr>
        <w:tblStyle w:val="TableGrid"/>
        <w:tblW w:type="dxa" w:w="9500"/>
        <w:jc w:val="left"/>
        <w:tblLayout w:type="fixed"/>
        <w:tblLook w:firstColumn="1" w:firstRow="1" w:lastColumn="0" w:lastRow="0" w:noHBand="0" w:noVBand="1" w:val="04A0"/>
        <w:tblInd w:w="120" w:type="dxa"/>
      </w:tblPr>
      <w:tblGrid>
        <w:gridCol w:w="3300"/>
        <w:gridCol w:w="1900"/>
        <w:gridCol w:w="2200"/>
        <w:gridCol w:w="2100"/>
      </w:tblGrid>
      <w:tr>
        <w:trPr>
          <w:tblHeader w:val="true"/>
          <w:cantSplit/>
        </w:trPr>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Pacturion</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Partenaire</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Cadrage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w:t>
            </w:r>
          </w:p>
        </w:tc>
      </w:tr>
      <w:tr>
        <w:trPr>
          <w:cantSplit/>
        </w:trPr>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Validation données</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Lancement</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w:t>
            </w:r>
          </w:p>
        </w:tc>
      </w:tr>
      <w:tr>
        <w:trPr>
          <w:cantSplit/>
        </w:trPr>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Revue intermédiaire</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Restitution</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w:t>
            </w:r>
          </w:p>
        </w:tc>
      </w:tr>
    </w:tbl>
    <w:p>
      <w:pPr>
        <w:spacing w:after="40"/>
      </w:pPr>
    </w:p>
    <w:p>
      <w:pPr>
        <w:pStyle w:val="Heading2"/>
      </w:pPr>
      <w:r>
        <w:t>Annexe D — Clôture et communication</w:t>
      </w:r>
    </w:p>
    <w:p>
      <w:pPr>
        <w:spacing w:after="140" w:line="307" w:lineRule="auto"/>
      </w:pPr>
      <w:r>
        <w:rPr>
          <w:rFonts w:ascii="Arial" w:hAnsi="Arial" w:eastAsia="Arial"/>
          <w:i w:val="0"/>
          <w:color w:val="162019"/>
          <w:sz w:val="20"/>
        </w:rPr>
        <w:t>Consigner la décision finale, les résultats publiables, les formulations autorisées, les logos éventuellement approuvés et la durée de cette autorisation.</w:t>
      </w:r>
    </w:p>
    <w:p>
      <w:pPr>
        <w:pStyle w:val="Heading2"/>
      </w:pPr>
      <w:r>
        <w:t>Références officielles</w:t>
      </w:r>
    </w:p>
    <w:p>
      <w:pPr>
        <w:spacing w:after="80"/>
      </w:pPr>
      <w:r>
        <w:rPr>
          <w:rFonts w:ascii="Arial" w:hAnsi="Arial" w:eastAsia="Arial"/>
          <w:b/>
          <w:color w:val="162019"/>
          <w:sz w:val="16"/>
        </w:rPr>
        <w:t xml:space="preserve">RGPD — règlement (UE) 2016/679 — </w:t>
      </w:r>
      <w:r>
        <w:rPr>
          <w:rFonts w:ascii="Arial" w:hAnsi="Arial" w:eastAsia="Arial"/>
          <w:color w:val="155A3E"/>
          <w:sz w:val="16"/>
        </w:rPr>
        <w:t>https://eur-lex.europa.eu/legal-content/FR/ALL/?uri=CELEX:32016R0679</w:t>
      </w:r>
    </w:p>
    <w:p>
      <w:pPr>
        <w:spacing w:after="80"/>
      </w:pPr>
      <w:r>
        <w:rPr>
          <w:rFonts w:ascii="Arial" w:hAnsi="Arial" w:eastAsia="Arial"/>
          <w:b/>
          <w:color w:val="162019"/>
          <w:sz w:val="16"/>
        </w:rPr>
        <w:t xml:space="preserve">CNIL — règlement européen sur la protection des données — </w:t>
      </w:r>
      <w:r>
        <w:rPr>
          <w:rFonts w:ascii="Arial" w:hAnsi="Arial" w:eastAsia="Arial"/>
          <w:color w:val="155A3E"/>
          <w:sz w:val="16"/>
        </w:rPr>
        <w:t>https://www.cnil.fr/fr/reglement-europeen-protection-donnees</w:t>
      </w:r>
    </w:p>
    <w:p>
      <w:pPr>
        <w:spacing w:after="80"/>
      </w:pPr>
      <w:r>
        <w:rPr>
          <w:rFonts w:ascii="Arial" w:hAnsi="Arial" w:eastAsia="Arial"/>
          <w:b/>
          <w:color w:val="162019"/>
          <w:sz w:val="16"/>
        </w:rPr>
        <w:t xml:space="preserve">MiCA — règlement (UE) 2023/1114 — </w:t>
      </w:r>
      <w:r>
        <w:rPr>
          <w:rFonts w:ascii="Arial" w:hAnsi="Arial" w:eastAsia="Arial"/>
          <w:color w:val="155A3E"/>
          <w:sz w:val="16"/>
        </w:rPr>
        <w:t>https://eur-lex.europa.eu/eli/reg/2023/1114/oj/fra</w:t>
      </w:r>
    </w:p>
    <w:p>
      <w:pPr>
        <w:spacing w:after="80"/>
      </w:pPr>
      <w:r>
        <w:rPr>
          <w:rFonts w:ascii="Arial" w:hAnsi="Arial" w:eastAsia="Arial"/>
          <w:b/>
          <w:color w:val="162019"/>
          <w:sz w:val="16"/>
        </w:rPr>
        <w:t xml:space="preserve">Secret des affaires — Code de commerce, art. L151-1 — </w:t>
      </w:r>
      <w:r>
        <w:rPr>
          <w:rFonts w:ascii="Arial" w:hAnsi="Arial" w:eastAsia="Arial"/>
          <w:color w:val="155A3E"/>
          <w:sz w:val="16"/>
        </w:rPr>
        <w:t>https://www.legifrance.gouv.fr/codes/article_lc/LEGIARTI000037266553</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ACCORD PILOTE V1.0</w:t>
    </w:r>
    <w:r>
      <w:rPr>
        <w:rFonts w:ascii="Arial" w:hAnsi="Arial" w:eastAsia="Arial"/>
        <w:b/>
        <w:color w:val="C6A15B"/>
        <w:sz w:val="14"/>
      </w:rPr>
      <w:tab/>
      <w:t xml:space="preserve">DOCUMENT CONTRÔLÉ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ACCORD DE PILOTE EXTERNE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decimal"/>
      <w:lvlText w:val="%1."/>
      <w:suff w:val="tab"/>
      <w:pPr>
        <w:tabs>
          <w:tab w:val="num" w:pos="540"/>
        </w:tabs>
        <w:ind w:left="540" w:hanging="270"/>
      </w:pPr>
      <w:rPr>
        <w:color w:val="155A3E"/>
      </w:rPr>
    </w:lvl>
  </w:abstractNum>
  <w:num w:numId="17">
    <w:abstractNumId w:val="16"/>
  </w:num>
  <w:abstractNum w:abstractNumId="17">
    <w:multiLevelType w:val="singleLevel"/>
    <w:lvl w:ilvl="0">
      <w:start w:val="1"/>
      <w:numFmt w:val="bullet"/>
      <w:lvlText w:val="•"/>
      <w:suff w:val="tab"/>
      <w:pPr>
        <w:tabs>
          <w:tab w:val="num" w:pos="540"/>
        </w:tabs>
        <w:ind w:left="540" w:hanging="270"/>
      </w:pPr>
      <w:rPr>
        <w:color w:val="C6A15B"/>
      </w:rPr>
    </w:lvl>
  </w:abstractNum>
  <w:num w:numId="18">
    <w:abstractNumId w:val="17"/>
  </w:num>
  <w:abstractNum w:abstractNumId="18">
    <w:multiLevelType w:val="singleLevel"/>
    <w:lvl w:ilvl="0">
      <w:start w:val="1"/>
      <w:numFmt w:val="bullet"/>
      <w:lvlText w:val="•"/>
      <w:suff w:val="tab"/>
      <w:pPr>
        <w:tabs>
          <w:tab w:val="num" w:pos="540"/>
        </w:tabs>
        <w:ind w:left="540" w:hanging="270"/>
      </w:pPr>
      <w:rPr>
        <w:color w:val="C6A15B"/>
      </w:rPr>
    </w:lvl>
  </w:abstractNum>
  <w:num w:numId="19">
    <w:abstractNumId w:val="18"/>
  </w:num>
  <w:abstractNum w:abstractNumId="19">
    <w:multiLevelType w:val="singleLevel"/>
    <w:lvl w:ilvl="0">
      <w:start w:val="1"/>
      <w:numFmt w:val="bullet"/>
      <w:lvlText w:val="•"/>
      <w:suff w:val="tab"/>
      <w:pPr>
        <w:tabs>
          <w:tab w:val="num" w:pos="540"/>
        </w:tabs>
        <w:ind w:left="540" w:hanging="270"/>
      </w:pPr>
      <w:rPr>
        <w:color w:val="C6A15B"/>
      </w:rPr>
    </w:lvl>
  </w:abstractNum>
  <w:num w:numId="20">
    <w:abstractNumId w:val="19"/>
  </w:num>
  <w:abstractNum w:abstractNumId="20">
    <w:multiLevelType w:val="singleLevel"/>
    <w:lvl w:ilvl="0">
      <w:start w:val="1"/>
      <w:numFmt w:val="bullet"/>
      <w:lvlText w:val="•"/>
      <w:suff w:val="tab"/>
      <w:pPr>
        <w:tabs>
          <w:tab w:val="num" w:pos="540"/>
        </w:tabs>
        <w:ind w:left="540" w:hanging="270"/>
      </w:pPr>
      <w:rPr>
        <w:color w:val="C6A15B"/>
      </w:rPr>
    </w:lvl>
  </w:abstract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Accord de pilote externe V1.0</dc:title>
  <dc:subject>Documentation Pacturion V1.0</dc:subject>
  <dc:creator>Pacturion</dc:creator>
  <cp:keywords>Pacturion, VERIDIA Protocol, engagements vérifiables, ALPHA, BCS, Base</cp:keywords>
  <dc:description>Document de travail contrôlé — ne constitue pas une offre au public.</dc:description>
  <cp:lastModifiedBy/>
  <cp:revision>1</cp:revision>
  <dcterms:created xsi:type="dcterms:W3CDTF">2013-12-23T23:15:00Z</dcterms:created>
  <dcterms:modified xsi:type="dcterms:W3CDTF">2013-12-23T23:15:00Z</dcterms:modified>
  <cp:category/>
</cp:coreProperties>
</file>