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360"/>
        <w:jc w:val="center"/>
      </w:pPr>
      <w:r>
        <w:drawing>
          <wp:inline xmlns:a="http://schemas.openxmlformats.org/drawingml/2006/main" xmlns:pic="http://schemas.openxmlformats.org/drawingml/2006/picture">
            <wp:extent cx="6120000" cy="1036190"/>
            <wp:docPr id="1" name="Picture 1" descr="Bannière officielle Pacturion, identité dorée sur fond sombre"/>
            <wp:cNvGraphicFramePr>
              <a:graphicFrameLocks noChangeAspect="1"/>
            </wp:cNvGraphicFramePr>
            <a:graphic>
              <a:graphicData uri="http://schemas.openxmlformats.org/drawingml/2006/picture">
                <pic:pic>
                  <pic:nvPicPr>
                    <pic:cNvPr id="0" name="pacturion-linkedin-banner-1512x256.png"/>
                    <pic:cNvPicPr/>
                  </pic:nvPicPr>
                  <pic:blipFill>
                    <a:blip r:embed="rId11"/>
                    <a:stretch>
                      <a:fillRect/>
                    </a:stretch>
                  </pic:blipFill>
                  <pic:spPr>
                    <a:xfrm>
                      <a:off x="0" y="0"/>
                      <a:ext cx="6120000" cy="1036190"/>
                    </a:xfrm>
                    <a:prstGeom prst="rect"/>
                  </pic:spPr>
                </pic:pic>
              </a:graphicData>
            </a:graphic>
          </wp:inline>
        </w:drawing>
      </w:r>
    </w:p>
    <w:p>
      <w:pPr>
        <w:spacing w:after="200"/>
      </w:pPr>
      <w:r>
        <w:rPr>
          <w:rFonts w:ascii="Arial" w:hAnsi="Arial" w:eastAsia="Arial"/>
          <w:b/>
          <w:color w:val="06110B"/>
          <w:sz w:val="62"/>
        </w:rPr>
        <w:t>DOCUMENT DE RÉFÉRENCE</w:t>
      </w:r>
    </w:p>
    <w:p>
      <w:pPr>
        <w:spacing w:after="240"/>
      </w:pPr>
      <w:r>
        <w:rPr>
          <w:rFonts w:ascii="Arial" w:hAnsi="Arial" w:eastAsia="Arial"/>
          <w:b w:val="0"/>
          <w:color w:val="155A3E"/>
          <w:sz w:val="34"/>
        </w:rPr>
        <w:t>Vision, infrastructure, validation et trajectoire</w:t>
      </w:r>
    </w:p>
    <w:p>
      <w:pPr>
        <w:spacing w:after="560"/>
      </w:pPr>
      <w:r>
        <w:rPr>
          <w:rFonts w:ascii="Arial" w:hAnsi="Arial" w:eastAsia="Arial"/>
          <w:color w:val="162019"/>
          <w:sz w:val="24"/>
        </w:rPr>
        <w:t>Pacturion développe une infrastructure destinée à transformer des engagements numériques en processus explicites, vérifiables, bornés et traçables.</w:t>
      </w:r>
    </w:p>
    <w:tbl>
      <w:tblPr>
        <w:tblStyle w:val="TableGrid"/>
        <w:tblW w:type="dxa" w:w="9500"/>
        <w:jc w:val="left"/>
        <w:tblLayout w:type="fixed"/>
        <w:tblLook w:firstColumn="1" w:firstRow="1" w:lastColumn="0" w:lastRow="0" w:noHBand="0" w:noVBand="1" w:val="04A0"/>
        <w:tblInd w:w="120" w:type="dxa"/>
      </w:tblPr>
      <w:tblGrid>
        <w:gridCol w:w="1300"/>
        <w:gridCol w:w="2100"/>
        <w:gridCol w:w="2600"/>
        <w:gridCol w:w="3500"/>
      </w:tblGrid>
      <w:tr>
        <w:trPr>
          <w:tblHeader w:val="true"/>
          <w:cantSplit/>
        </w:trPr>
        <w:tc>
          <w:tcPr>
            <w:tcW w:type="dxa" w:w="1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26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3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PÉRIMÈTRE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Document de travail contrôlé</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Pacturion + VERIDIA Protocol</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RÈGLE DE LECTURE</w:t>
        <w:br/>
      </w:r>
      <w:r>
        <w:rPr>
          <w:rFonts w:ascii="Arial" w:hAnsi="Arial" w:eastAsia="Arial"/>
          <w:b w:val="0"/>
          <w:color w:val="162019"/>
          <w:sz w:val="20"/>
        </w:rPr>
        <w:t>Ce dossier sépare systématiquement les faits établis, les résultats internes, les déclarations du porteur, les hypothèses de produit et les validations externes encore requises.</w:t>
      </w:r>
    </w:p>
    <w:p>
      <w:pPr>
        <w:spacing w:before="900" w:after="40"/>
      </w:pPr>
      <w:r>
        <w:rPr>
          <w:rFonts w:ascii="Arial" w:hAnsi="Arial" w:eastAsia="Arial"/>
          <w:b/>
          <w:color w:val="C6A15B"/>
          <w:sz w:val="22"/>
        </w:rPr>
        <w:t>Infrastructure for verifiable commitments.</w:t>
      </w:r>
    </w:p>
    <w:p>
      <w:r>
        <w:rPr>
          <w:rFonts w:ascii="Arial" w:hAnsi="Arial" w:eastAsia="Arial"/>
          <w:color w:val="66736B"/>
          <w:sz w:val="18"/>
        </w:rPr>
        <w:t>pacturion.com</w:t>
      </w:r>
    </w:p>
    <w:p>
      <w:r>
        <w:br w:type="page"/>
      </w:r>
    </w:p>
    <w:p>
      <w:pPr>
        <w:keepNext/>
        <w:spacing w:before="0" w:after="100"/>
      </w:pPr>
      <w:r>
        <w:rPr>
          <w:rFonts w:ascii="Arial" w:hAnsi="Arial" w:eastAsia="Arial"/>
          <w:b/>
          <w:color w:val="C6A15B"/>
          <w:sz w:val="16"/>
        </w:rPr>
        <w:t>CONTRÔLE DU DOCUMENT</w:t>
      </w:r>
    </w:p>
    <w:p>
      <w:pPr>
        <w:spacing w:after="280"/>
      </w:pPr>
      <w:r>
        <w:rPr>
          <w:rFonts w:ascii="Arial" w:hAnsi="Arial" w:eastAsia="Arial"/>
          <w:b/>
          <w:color w:val="06110B"/>
          <w:sz w:val="44"/>
        </w:rPr>
        <w:t>Un document central, sans ambiguïté de marque ni de maturité</w:t>
      </w:r>
    </w:p>
    <w:tbl>
      <w:tblPr>
        <w:tblStyle w:val="TableGrid"/>
        <w:tblW w:type="dxa" w:w="9500"/>
        <w:jc w:val="left"/>
        <w:tblLayout w:type="fixed"/>
        <w:tblLook w:firstColumn="1" w:firstRow="1" w:lastColumn="0" w:lastRow="0" w:noHBand="0" w:noVBand="1" w:val="04A0"/>
        <w:tblInd w:w="120" w:type="dxa"/>
      </w:tblPr>
      <w:tblGrid>
        <w:gridCol w:w="2600"/>
        <w:gridCol w:w="6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Marque / entreprise</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Pacturion — vision, recherche, cas d’usage et relation avec les partenaires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Infrastructure technique</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VERIDIA Protocol — engagements, règles, preuves, décisions et traçabilité</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Réseau cible</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Base ; environnement de test Base Sepolia, chain ID 84532</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Statut</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Développement et validation ; aucun lancement mainnet autorisé dans ce dossier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Audit indépendant</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Non réalisé à la date de référence ; prochaine gate externe annoncée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Marché</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Hypothèses en cours de validation ; aucun segment client présenté comme acquis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Diffusion</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Document de travail destiné au pilotage, aux partenaires qualifiés et à la préparation de revue</w:t>
            </w:r>
          </w:p>
        </w:tc>
      </w:tr>
    </w:tbl>
    <w:p>
      <w:pPr>
        <w:spacing w:after="40"/>
      </w:pPr>
    </w:p>
    <w:p>
      <w:pPr>
        <w:pStyle w:val="Heading2"/>
      </w:pPr>
      <w:r>
        <w:t>Doctrine de preuve</w:t>
      </w:r>
    </w:p>
    <w:p>
      <w:pPr>
        <w:numPr>
          <w:ilvl w:val="0"/>
          <w:numId w:val="10"/>
        </w:numPr>
        <w:spacing w:after="80" w:line="283" w:lineRule="auto"/>
      </w:pPr>
      <w:r>
        <w:rPr>
          <w:rFonts w:ascii="Arial" w:hAnsi="Arial" w:eastAsia="Arial"/>
          <w:color w:val="162019"/>
          <w:sz w:val="20"/>
        </w:rPr>
        <w:t>Un test local ne prouve pas un déploiement.</w:t>
      </w:r>
    </w:p>
    <w:p>
      <w:pPr>
        <w:numPr>
          <w:ilvl w:val="0"/>
          <w:numId w:val="10"/>
        </w:numPr>
        <w:spacing w:after="80" w:line="283" w:lineRule="auto"/>
      </w:pPr>
      <w:r>
        <w:rPr>
          <w:rFonts w:ascii="Arial" w:hAnsi="Arial" w:eastAsia="Arial"/>
          <w:color w:val="162019"/>
          <w:sz w:val="20"/>
        </w:rPr>
        <w:t>Un testnet ne prouve ni la sécurité mainnet, ni l’existence d’un marché.</w:t>
      </w:r>
    </w:p>
    <w:p>
      <w:pPr>
        <w:numPr>
          <w:ilvl w:val="0"/>
          <w:numId w:val="10"/>
        </w:numPr>
        <w:spacing w:after="80" w:line="283" w:lineRule="auto"/>
      </w:pPr>
      <w:r>
        <w:rPr>
          <w:rFonts w:ascii="Arial" w:hAnsi="Arial" w:eastAsia="Arial"/>
          <w:color w:val="162019"/>
          <w:sz w:val="20"/>
        </w:rPr>
        <w:t>Un résultat interne PASS ne remplace pas un audit indépendant.</w:t>
      </w:r>
    </w:p>
    <w:p>
      <w:pPr>
        <w:numPr>
          <w:ilvl w:val="0"/>
          <w:numId w:val="10"/>
        </w:numPr>
        <w:spacing w:after="80" w:line="283" w:lineRule="auto"/>
      </w:pPr>
      <w:r>
        <w:rPr>
          <w:rFonts w:ascii="Arial" w:hAnsi="Arial" w:eastAsia="Arial"/>
          <w:color w:val="162019"/>
          <w:sz w:val="20"/>
        </w:rPr>
        <w:t>Une attestation authentifie une source ou un enregistrement ; elle ne transforme pas automatiquement une affirmation externe en vérité.</w:t>
      </w:r>
    </w:p>
    <w:p>
      <w:pPr>
        <w:numPr>
          <w:ilvl w:val="0"/>
          <w:numId w:val="10"/>
        </w:numPr>
        <w:spacing w:after="80" w:line="283" w:lineRule="auto"/>
      </w:pPr>
      <w:r>
        <w:rPr>
          <w:rFonts w:ascii="Arial" w:hAnsi="Arial" w:eastAsia="Arial"/>
          <w:color w:val="162019"/>
          <w:sz w:val="20"/>
        </w:rPr>
        <w:t>Une hypothèse commerciale n’est considérée comme validée qu’après observation du workflow, discussion du prix et engagement pilote mesurable.</w:t>
      </w:r>
    </w:p>
    <w:p>
      <w:pPr>
        <w:pStyle w:val="Heading2"/>
      </w:pPr>
      <w:r>
        <w:t>Avertissement</w:t>
      </w:r>
    </w:p>
    <w:p>
      <w:pPr>
        <w:spacing w:before="100" w:after="180" w:line="283" w:lineRule="auto"/>
        <w:ind w:left="227" w:right="170"/>
        <w:shd w:fill="F6F0E3"/>
        <w:pBdr>
          <w:left w:val="single" w:sz="18" w:space="8" w:color="C6A15B"/>
        </w:pBdr>
      </w:pPr>
      <w:r>
        <w:rPr>
          <w:rFonts w:ascii="Arial" w:hAnsi="Arial" w:eastAsia="Arial"/>
          <w:b/>
          <w:color w:val="C6A15B"/>
          <w:sz w:val="16"/>
        </w:rPr>
        <w:t>DOCUMENT NON TRANSACTIONNEL</w:t>
        <w:br/>
      </w:r>
      <w:r>
        <w:rPr>
          <w:rFonts w:ascii="Arial" w:hAnsi="Arial" w:eastAsia="Arial"/>
          <w:b w:val="0"/>
          <w:color w:val="162019"/>
          <w:sz w:val="20"/>
        </w:rPr>
        <w:t>Ce dossier ne constitue ni une offre au public, ni une sollicitation, ni un conseil en investissement, ni un prospectus. Il n’autorise aucune distribution publique, admission à la négociation, promesse de rendement ou lancement mainnet.</w:t>
      </w:r>
    </w:p>
    <w:p>
      <w:r>
        <w:br w:type="page"/>
      </w:r>
    </w:p>
    <w:p>
      <w:pPr>
        <w:keepNext/>
        <w:spacing w:before="0" w:after="100"/>
      </w:pPr>
      <w:r>
        <w:rPr>
          <w:rFonts w:ascii="Arial" w:hAnsi="Arial" w:eastAsia="Arial"/>
          <w:b/>
          <w:color w:val="C6A15B"/>
          <w:sz w:val="16"/>
        </w:rPr>
        <w:t>NAVIGATION</w:t>
      </w:r>
    </w:p>
    <w:p>
      <w:pPr>
        <w:spacing w:after="360"/>
      </w:pPr>
      <w:r>
        <w:rPr>
          <w:rFonts w:ascii="Arial" w:hAnsi="Arial" w:eastAsia="Arial"/>
          <w:b/>
          <w:color w:val="06110B"/>
          <w:sz w:val="50"/>
        </w:rPr>
        <w:t>Table des matières</w:t>
      </w:r>
    </w:p>
    <w:p>
      <w:pPr>
        <w:spacing w:after="100"/>
      </w:pPr>
      <w:r>
        <w:rPr>
          <w:rFonts w:ascii="Arial" w:hAnsi="Arial" w:eastAsia="Arial"/>
          <w:b/>
          <w:color w:val="C6A15B"/>
          <w:sz w:val="19"/>
        </w:rPr>
        <w:t xml:space="preserve">01  </w:t>
      </w:r>
      <w:r>
        <w:rPr>
          <w:rFonts w:ascii="Arial" w:hAnsi="Arial" w:eastAsia="Arial"/>
          <w:b/>
          <w:color w:val="162019"/>
          <w:sz w:val="21"/>
        </w:rPr>
        <w:t>Résumé exécutif</w:t>
      </w:r>
    </w:p>
    <w:p>
      <w:pPr>
        <w:spacing w:after="100"/>
      </w:pPr>
      <w:r>
        <w:rPr>
          <w:rFonts w:ascii="Arial" w:hAnsi="Arial" w:eastAsia="Arial"/>
          <w:b/>
          <w:color w:val="C6A15B"/>
          <w:sz w:val="19"/>
        </w:rPr>
        <w:t xml:space="preserve">02  </w:t>
      </w:r>
      <w:r>
        <w:rPr>
          <w:rFonts w:ascii="Arial" w:hAnsi="Arial" w:eastAsia="Arial"/>
          <w:b/>
          <w:color w:val="162019"/>
          <w:sz w:val="21"/>
        </w:rPr>
        <w:t>Pacturion : identité, mission et positionnement</w:t>
      </w:r>
    </w:p>
    <w:p>
      <w:pPr>
        <w:spacing w:after="100"/>
      </w:pPr>
      <w:r>
        <w:rPr>
          <w:rFonts w:ascii="Arial" w:hAnsi="Arial" w:eastAsia="Arial"/>
          <w:b/>
          <w:color w:val="C6A15B"/>
          <w:sz w:val="19"/>
        </w:rPr>
        <w:t xml:space="preserve">03  </w:t>
      </w:r>
      <w:r>
        <w:rPr>
          <w:rFonts w:ascii="Arial" w:hAnsi="Arial" w:eastAsia="Arial"/>
          <w:b/>
          <w:color w:val="162019"/>
          <w:sz w:val="21"/>
        </w:rPr>
        <w:t>Le problème et la proposition de valeur</w:t>
      </w:r>
    </w:p>
    <w:p>
      <w:pPr>
        <w:spacing w:after="100"/>
      </w:pPr>
      <w:r>
        <w:rPr>
          <w:rFonts w:ascii="Arial" w:hAnsi="Arial" w:eastAsia="Arial"/>
          <w:b/>
          <w:color w:val="C6A15B"/>
          <w:sz w:val="19"/>
        </w:rPr>
        <w:t xml:space="preserve">04  </w:t>
      </w:r>
      <w:r>
        <w:rPr>
          <w:rFonts w:ascii="Arial" w:hAnsi="Arial" w:eastAsia="Arial"/>
          <w:b/>
          <w:color w:val="162019"/>
          <w:sz w:val="21"/>
        </w:rPr>
        <w:t>VERIDIA Protocol : architecture et frontières de confiance</w:t>
      </w:r>
    </w:p>
    <w:p>
      <w:pPr>
        <w:spacing w:after="100"/>
      </w:pPr>
      <w:r>
        <w:rPr>
          <w:rFonts w:ascii="Arial" w:hAnsi="Arial" w:eastAsia="Arial"/>
          <w:b/>
          <w:color w:val="C6A15B"/>
          <w:sz w:val="19"/>
        </w:rPr>
        <w:t xml:space="preserve">05  </w:t>
      </w:r>
      <w:r>
        <w:rPr>
          <w:rFonts w:ascii="Arial" w:hAnsi="Arial" w:eastAsia="Arial"/>
          <w:b/>
          <w:color w:val="162019"/>
          <w:sz w:val="21"/>
        </w:rPr>
        <w:t>Pistes produit : ALPHA, BCS et Proof-of-Reality</w:t>
      </w:r>
    </w:p>
    <w:p>
      <w:pPr>
        <w:spacing w:after="100"/>
      </w:pPr>
      <w:r>
        <w:rPr>
          <w:rFonts w:ascii="Arial" w:hAnsi="Arial" w:eastAsia="Arial"/>
          <w:b/>
          <w:color w:val="C6A15B"/>
          <w:sz w:val="19"/>
        </w:rPr>
        <w:t xml:space="preserve">06  </w:t>
      </w:r>
      <w:r>
        <w:rPr>
          <w:rFonts w:ascii="Arial" w:hAnsi="Arial" w:eastAsia="Arial"/>
          <w:b/>
          <w:color w:val="162019"/>
          <w:sz w:val="21"/>
        </w:rPr>
        <w:t>Modèle économique et place de VERIDIA</w:t>
      </w:r>
    </w:p>
    <w:p>
      <w:pPr>
        <w:spacing w:after="100"/>
      </w:pPr>
      <w:r>
        <w:rPr>
          <w:rFonts w:ascii="Arial" w:hAnsi="Arial" w:eastAsia="Arial"/>
          <w:b/>
          <w:color w:val="C6A15B"/>
          <w:sz w:val="19"/>
        </w:rPr>
        <w:t xml:space="preserve">07  </w:t>
      </w:r>
      <w:r>
        <w:rPr>
          <w:rFonts w:ascii="Arial" w:hAnsi="Arial" w:eastAsia="Arial"/>
          <w:b/>
          <w:color w:val="162019"/>
          <w:sz w:val="21"/>
        </w:rPr>
        <w:t>Sécurité, validation et état de maturité</w:t>
      </w:r>
    </w:p>
    <w:p>
      <w:pPr>
        <w:spacing w:after="100"/>
      </w:pPr>
      <w:r>
        <w:rPr>
          <w:rFonts w:ascii="Arial" w:hAnsi="Arial" w:eastAsia="Arial"/>
          <w:b/>
          <w:color w:val="C6A15B"/>
          <w:sz w:val="19"/>
        </w:rPr>
        <w:t xml:space="preserve">08  </w:t>
      </w:r>
      <w:r>
        <w:rPr>
          <w:rFonts w:ascii="Arial" w:hAnsi="Arial" w:eastAsia="Arial"/>
          <w:b/>
          <w:color w:val="162019"/>
          <w:sz w:val="21"/>
        </w:rPr>
        <w:t>Validation marché et stratégie commerciale</w:t>
      </w:r>
    </w:p>
    <w:p>
      <w:pPr>
        <w:spacing w:after="100"/>
      </w:pPr>
      <w:r>
        <w:rPr>
          <w:rFonts w:ascii="Arial" w:hAnsi="Arial" w:eastAsia="Arial"/>
          <w:b/>
          <w:color w:val="C6A15B"/>
          <w:sz w:val="19"/>
        </w:rPr>
        <w:t xml:space="preserve">09  </w:t>
      </w:r>
      <w:r>
        <w:rPr>
          <w:rFonts w:ascii="Arial" w:hAnsi="Arial" w:eastAsia="Arial"/>
          <w:b/>
          <w:color w:val="162019"/>
          <w:sz w:val="21"/>
        </w:rPr>
        <w:t>Roadmap pilotée par des gates</w:t>
      </w:r>
    </w:p>
    <w:p>
      <w:pPr>
        <w:spacing w:after="100"/>
      </w:pPr>
      <w:r>
        <w:rPr>
          <w:rFonts w:ascii="Arial" w:hAnsi="Arial" w:eastAsia="Arial"/>
          <w:b/>
          <w:color w:val="C6A15B"/>
          <w:sz w:val="19"/>
        </w:rPr>
        <w:t xml:space="preserve">10  </w:t>
      </w:r>
      <w:r>
        <w:rPr>
          <w:rFonts w:ascii="Arial" w:hAnsi="Arial" w:eastAsia="Arial"/>
          <w:b/>
          <w:color w:val="162019"/>
          <w:sz w:val="21"/>
        </w:rPr>
        <w:t>Gouvernance, opérations et maîtrise des changements</w:t>
      </w:r>
    </w:p>
    <w:p>
      <w:pPr>
        <w:spacing w:after="100"/>
      </w:pPr>
      <w:r>
        <w:rPr>
          <w:rFonts w:ascii="Arial" w:hAnsi="Arial" w:eastAsia="Arial"/>
          <w:b/>
          <w:color w:val="C6A15B"/>
          <w:sz w:val="19"/>
        </w:rPr>
        <w:t xml:space="preserve">11  </w:t>
      </w:r>
      <w:r>
        <w:rPr>
          <w:rFonts w:ascii="Arial" w:hAnsi="Arial" w:eastAsia="Arial"/>
          <w:b/>
          <w:color w:val="162019"/>
          <w:sz w:val="21"/>
        </w:rPr>
        <w:t>Cadre juridique, conformité et communication</w:t>
      </w:r>
    </w:p>
    <w:p>
      <w:pPr>
        <w:spacing w:after="100"/>
      </w:pPr>
      <w:r>
        <w:rPr>
          <w:rFonts w:ascii="Arial" w:hAnsi="Arial" w:eastAsia="Arial"/>
          <w:b/>
          <w:color w:val="C6A15B"/>
          <w:sz w:val="19"/>
        </w:rPr>
        <w:t xml:space="preserve">12  </w:t>
      </w:r>
      <w:r>
        <w:rPr>
          <w:rFonts w:ascii="Arial" w:hAnsi="Arial" w:eastAsia="Arial"/>
          <w:b/>
          <w:color w:val="162019"/>
          <w:sz w:val="21"/>
        </w:rPr>
        <w:t>Registre des risques et conditions d’arrêt</w:t>
      </w:r>
    </w:p>
    <w:p>
      <w:pPr>
        <w:spacing w:after="100"/>
      </w:pPr>
      <w:r>
        <w:rPr>
          <w:rFonts w:ascii="Arial" w:hAnsi="Arial" w:eastAsia="Arial"/>
          <w:b/>
          <w:color w:val="C6A15B"/>
          <w:sz w:val="19"/>
        </w:rPr>
        <w:t xml:space="preserve">13  </w:t>
      </w:r>
      <w:r>
        <w:rPr>
          <w:rFonts w:ascii="Arial" w:hAnsi="Arial" w:eastAsia="Arial"/>
          <w:b/>
          <w:color w:val="162019"/>
          <w:sz w:val="21"/>
        </w:rPr>
        <w:t>Indicateurs, décisions et dossier de preuve</w:t>
      </w:r>
    </w:p>
    <w:p>
      <w:pPr>
        <w:spacing w:after="100"/>
      </w:pPr>
      <w:r>
        <w:rPr>
          <w:rFonts w:ascii="Arial" w:hAnsi="Arial" w:eastAsia="Arial"/>
          <w:b/>
          <w:color w:val="C6A15B"/>
          <w:sz w:val="19"/>
        </w:rPr>
        <w:t xml:space="preserve">14  </w:t>
      </w:r>
      <w:r>
        <w:rPr>
          <w:rFonts w:ascii="Arial" w:hAnsi="Arial" w:eastAsia="Arial"/>
          <w:b/>
          <w:color w:val="162019"/>
          <w:sz w:val="21"/>
        </w:rPr>
        <w:t>Doctrine de communication Pacturion</w:t>
      </w:r>
    </w:p>
    <w:p>
      <w:pPr>
        <w:spacing w:after="100"/>
      </w:pPr>
      <w:r>
        <w:rPr>
          <w:rFonts w:ascii="Arial" w:hAnsi="Arial" w:eastAsia="Arial"/>
          <w:b/>
          <w:color w:val="C6A15B"/>
          <w:sz w:val="19"/>
        </w:rPr>
        <w:t xml:space="preserve">A  </w:t>
      </w:r>
      <w:r>
        <w:rPr>
          <w:rFonts w:ascii="Arial" w:hAnsi="Arial" w:eastAsia="Arial"/>
          <w:b w:val="0"/>
          <w:color w:val="162019"/>
          <w:sz w:val="21"/>
        </w:rPr>
        <w:t>Glossaire</w:t>
      </w:r>
    </w:p>
    <w:p>
      <w:pPr>
        <w:spacing w:after="100"/>
      </w:pPr>
      <w:r>
        <w:rPr>
          <w:rFonts w:ascii="Arial" w:hAnsi="Arial" w:eastAsia="Arial"/>
          <w:b/>
          <w:color w:val="C6A15B"/>
          <w:sz w:val="19"/>
        </w:rPr>
        <w:t xml:space="preserve">B  </w:t>
      </w:r>
      <w:r>
        <w:rPr>
          <w:rFonts w:ascii="Arial" w:hAnsi="Arial" w:eastAsia="Arial"/>
          <w:b w:val="0"/>
          <w:color w:val="162019"/>
          <w:sz w:val="21"/>
        </w:rPr>
        <w:t>Registre documentaire et références</w:t>
      </w:r>
    </w:p>
    <w:p>
      <w:pPr>
        <w:keepNext/>
        <w:spacing w:before="440" w:after="100"/>
      </w:pPr>
      <w:r>
        <w:rPr>
          <w:rFonts w:ascii="Arial" w:hAnsi="Arial" w:eastAsia="Arial"/>
          <w:b/>
          <w:color w:val="C6A15B"/>
          <w:sz w:val="16"/>
        </w:rPr>
        <w:t>CHAPITRE 01</w:t>
      </w:r>
    </w:p>
    <w:p>
      <w:pPr>
        <w:pStyle w:val="Heading1"/>
        <w:pageBreakBefore w:val="0"/>
      </w:pPr>
      <w:r>
        <w:t>Résumé exécutif</w:t>
      </w:r>
    </w:p>
    <w:p>
      <w:pPr>
        <w:keepNext/>
        <w:spacing w:after="320"/>
      </w:pPr>
      <w:r>
        <w:rPr>
          <w:rFonts w:ascii="Arial" w:hAnsi="Arial" w:eastAsia="Arial"/>
          <w:i/>
          <w:color w:val="66736B"/>
          <w:sz w:val="25"/>
        </w:rPr>
        <w:t>Le projet, ses limites et la décision stratégique en une lecture.</w:t>
      </w:r>
    </w:p>
    <w:p>
      <w:pPr>
        <w:spacing w:after="140" w:line="307" w:lineRule="auto"/>
      </w:pPr>
      <w:r>
        <w:rPr>
          <w:rFonts w:ascii="Arial" w:hAnsi="Arial" w:eastAsia="Arial"/>
          <w:i w:val="0"/>
          <w:color w:val="162019"/>
          <w:sz w:val="20"/>
        </w:rPr>
        <w:t>Pacturion est la marque commerciale et la couche de relation avec le marché. Elle porte la vision, la recherche, la conception des cas d’usage et l’accompagnement des organisations. VERIDIA Protocol est le socle technique développé sous cette marque : il structure les engagements, fixe les règles applicables, relie les preuves autorisées, produit un résultat explicable et conserve un chemin d’audit.</w:t>
      </w:r>
    </w:p>
    <w:p>
      <w:pPr>
        <w:spacing w:after="140" w:line="307" w:lineRule="auto"/>
      </w:pPr>
      <w:r>
        <w:rPr>
          <w:rFonts w:ascii="Arial" w:hAnsi="Arial" w:eastAsia="Arial"/>
          <w:i w:val="0"/>
          <w:color w:val="162019"/>
          <w:sz w:val="20"/>
        </w:rPr>
        <w:t>L’ambition n’est pas de fabriquer une vérité automatique. Elle est de réduire l’ambiguïté opérationnelle dans les situations où plusieurs parties doivent coordonner une action, comprendre les conditions applicables et vérifier les conséquences prévues.</w:t>
      </w:r>
    </w:p>
    <w:p>
      <w:pPr>
        <w:spacing w:before="100" w:after="180" w:line="283" w:lineRule="auto"/>
        <w:ind w:left="227" w:right="170"/>
        <w:shd w:fill="EDF3EF"/>
        <w:pBdr>
          <w:left w:val="single" w:sz="18" w:space="8" w:color="155A3E"/>
        </w:pBdr>
      </w:pPr>
      <w:r>
        <w:rPr>
          <w:rFonts w:ascii="Arial" w:hAnsi="Arial" w:eastAsia="Arial"/>
          <w:b/>
          <w:color w:val="155A3E"/>
          <w:sz w:val="16"/>
        </w:rPr>
        <w:t>POSITION STRATÉGIQUE</w:t>
        <w:br/>
      </w:r>
      <w:r>
        <w:rPr>
          <w:rFonts w:ascii="Arial" w:hAnsi="Arial" w:eastAsia="Arial"/>
          <w:b w:val="0"/>
          <w:color w:val="162019"/>
          <w:sz w:val="20"/>
        </w:rPr>
        <w:t>Pacturion doit pouvoir devenir une entreprise viable sans vente de jeton. La valeur commerciale doit provenir d’un problème client mesurable, d’un service utile et d’une exécution maîtrisée. VERIDIA ne devient nécessaire que si sa présence apporte une propriété impossible à obtenir raisonnablement par une architecture tokenless.</w:t>
      </w:r>
    </w:p>
    <w:p>
      <w:pPr>
        <w:pStyle w:val="Heading2"/>
      </w:pPr>
      <w:r>
        <w:t>État synthétique au 8 septembre 2026</w:t>
      </w:r>
    </w:p>
    <w:tbl>
      <w:tblPr>
        <w:tblStyle w:val="TableGrid"/>
        <w:tblW w:type="dxa" w:w="9500"/>
        <w:jc w:val="left"/>
        <w:tblLayout w:type="fixed"/>
        <w:tblLook w:firstColumn="1" w:firstRow="1" w:lastColumn="0" w:lastRow="0" w:noHBand="0" w:noVBand="1" w:val="04A0"/>
        <w:tblInd w:w="120" w:type="dxa"/>
      </w:tblPr>
      <w:tblGrid>
        <w:gridCol w:w="2150"/>
        <w:gridCol w:w="1850"/>
        <w:gridCol w:w="5500"/>
      </w:tblGrid>
      <w:tr>
        <w:trPr>
          <w:tblHeader w:val="true"/>
          <w:cantSplit/>
        </w:trPr>
        <w:tc>
          <w:tcPr>
            <w:tcW w:type="dxa" w:w="215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185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55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PORTÉE / RÉSERVE</w:t>
            </w:r>
          </w:p>
        </w:tc>
      </w:tr>
      <w:tr>
        <w:trPr>
          <w:cantSplit/>
        </w:trPr>
        <w:tc>
          <w:tcPr>
            <w:tcW w:type="dxa" w:w="2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Positionnement Pacturion</w:t>
            </w:r>
          </w:p>
        </w:tc>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Structuré</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Marque commerciale distincte de VERIDIA Protocol</w:t>
            </w:r>
          </w:p>
        </w:tc>
      </w:tr>
      <w:tr>
        <w:trPr>
          <w:cantSplit/>
        </w:trPr>
        <w:tc>
          <w:tcPr>
            <w:tcW w:type="dxa" w:w="2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Architecture et règles</w:t>
            </w:r>
          </w:p>
        </w:tc>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Structuré</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Modèle modulaire, fail-closed et conséquences bornées</w:t>
            </w:r>
          </w:p>
        </w:tc>
      </w:tr>
      <w:tr>
        <w:trPr>
          <w:cantSplit/>
        </w:trPr>
        <w:tc>
          <w:tcPr>
            <w:tcW w:type="dxa" w:w="2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Tests techniques internes</w:t>
            </w:r>
          </w:p>
        </w:tc>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PASS déclaré</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Phase 3B documentée ; phase 3.E Human Pilot et gate Release Candidate déclarées PASS par le porteur</w:t>
            </w:r>
          </w:p>
        </w:tc>
      </w:tr>
      <w:tr>
        <w:trPr>
          <w:cantSplit/>
        </w:trPr>
        <w:tc>
          <w:tcPr>
            <w:tcW w:type="dxa" w:w="2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Base Sepolia</w:t>
            </w:r>
          </w:p>
        </w:tc>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Déploiement déclaré</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Adresses, hashes, bytecodes et liens d’explorateur à consolider dans le registre de preuve</w:t>
            </w:r>
          </w:p>
        </w:tc>
      </w:tr>
      <w:tr>
        <w:trPr>
          <w:cantSplit/>
        </w:trPr>
        <w:tc>
          <w:tcPr>
            <w:tcW w:type="dxa" w:w="2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Audit indépendant</w:t>
            </w:r>
          </w:p>
        </w:tc>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réalisé</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Prochaine gate externe ; aucune revendication d’audit avant rapport signé</w:t>
            </w:r>
          </w:p>
        </w:tc>
      </w:tr>
      <w:tr>
        <w:trPr>
          <w:cantSplit/>
        </w:trPr>
        <w:tc>
          <w:tcPr>
            <w:tcW w:type="dxa" w:w="2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Produit</w:t>
            </w:r>
          </w:p>
        </w:tc>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Hypothèse priorisée</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ALPHA reste la piste la plus testable ; le besoin client doit encore être démontré</w:t>
            </w:r>
          </w:p>
        </w:tc>
      </w:tr>
      <w:tr>
        <w:trPr>
          <w:cantSplit/>
        </w:trPr>
        <w:tc>
          <w:tcPr>
            <w:tcW w:type="dxa" w:w="21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Marché</w:t>
            </w:r>
          </w:p>
        </w:tc>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validé</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Pas de segment, prix, volonté de payer ou renouvellement considérés comme acquis</w:t>
            </w:r>
          </w:p>
        </w:tc>
      </w:tr>
      <w:tr>
        <w:trPr>
          <w:cantSplit/>
        </w:trPr>
        <w:tc>
          <w:tcPr>
            <w:tcW w:type="dxa" w:w="21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Mainnet</w:t>
            </w:r>
          </w:p>
        </w:tc>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autorisé</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Aucune distribution publique ni fonction économique en production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ÉCART DOCUMENTAIRE</w:t>
        <w:br/>
      </w:r>
      <w:r>
        <w:rPr>
          <w:rFonts w:ascii="Arial" w:hAnsi="Arial" w:eastAsia="Arial"/>
          <w:b w:val="0"/>
          <w:color w:val="162019"/>
          <w:sz w:val="20"/>
        </w:rPr>
        <w:t>Les rapports formels Phase 3.E Human Pilot et Release Candidate n’étaient pas inclus dans le corpus source disponible pour cette édition. Leur statut est donc présenté comme une déclaration du porteur et doit être remplacé par les références, commits et preuves exactes avant diffusion externe.</w:t>
      </w:r>
    </w:p>
    <w:p>
      <w:pPr>
        <w:pStyle w:val="Heading2"/>
      </w:pPr>
      <w:r>
        <w:t>Décision structurante</w:t>
      </w:r>
    </w:p>
    <w:p>
      <w:pPr>
        <w:numPr>
          <w:ilvl w:val="0"/>
          <w:numId w:val="12"/>
        </w:numPr>
        <w:spacing w:after="80" w:line="283" w:lineRule="auto"/>
      </w:pPr>
      <w:r>
        <w:rPr>
          <w:rFonts w:ascii="Arial" w:hAnsi="Arial" w:eastAsia="Arial"/>
          <w:color w:val="162019"/>
          <w:sz w:val="20"/>
        </w:rPr>
        <w:t>Court terme : consolider le dossier de preuve technique, les résultats du Human Pilot et le Release Candidate.</w:t>
      </w:r>
    </w:p>
    <w:p>
      <w:pPr>
        <w:numPr>
          <w:ilvl w:val="0"/>
          <w:numId w:val="12"/>
        </w:numPr>
        <w:spacing w:after="80" w:line="283" w:lineRule="auto"/>
      </w:pPr>
      <w:r>
        <w:rPr>
          <w:rFonts w:ascii="Arial" w:hAnsi="Arial" w:eastAsia="Arial"/>
          <w:color w:val="162019"/>
          <w:sz w:val="20"/>
        </w:rPr>
        <w:t>Gate suivante : faire réaliser une revue ou un audit indépendant avec périmètre, version et exceptions explicites.</w:t>
      </w:r>
    </w:p>
    <w:p>
      <w:pPr>
        <w:numPr>
          <w:ilvl w:val="0"/>
          <w:numId w:val="12"/>
        </w:numPr>
        <w:spacing w:after="80" w:line="283" w:lineRule="auto"/>
      </w:pPr>
      <w:r>
        <w:rPr>
          <w:rFonts w:ascii="Arial" w:hAnsi="Arial" w:eastAsia="Arial"/>
          <w:color w:val="162019"/>
          <w:sz w:val="20"/>
        </w:rPr>
        <w:t>En parallèle : valider un seul cas d’usage ALPHA avec des opérateurs et décideurs accessibles.</w:t>
      </w:r>
    </w:p>
    <w:p>
      <w:pPr>
        <w:numPr>
          <w:ilvl w:val="0"/>
          <w:numId w:val="12"/>
        </w:numPr>
        <w:spacing w:after="80" w:line="283" w:lineRule="auto"/>
      </w:pPr>
      <w:r>
        <w:rPr>
          <w:rFonts w:ascii="Arial" w:hAnsi="Arial" w:eastAsia="Arial"/>
          <w:color w:val="162019"/>
          <w:sz w:val="20"/>
        </w:rPr>
        <w:t>Ne pas activer une économie tokenisée pour compenser l’absence de preuve client.</w:t>
      </w:r>
    </w:p>
    <w:p>
      <w:pPr>
        <w:keepNext/>
        <w:spacing w:before="440" w:after="100"/>
      </w:pPr>
      <w:r>
        <w:rPr>
          <w:rFonts w:ascii="Arial" w:hAnsi="Arial" w:eastAsia="Arial"/>
          <w:b/>
          <w:color w:val="C6A15B"/>
          <w:sz w:val="16"/>
        </w:rPr>
        <w:t>CHAPITRE 02</w:t>
      </w:r>
    </w:p>
    <w:p>
      <w:pPr>
        <w:pStyle w:val="Heading1"/>
        <w:pageBreakBefore w:val="0"/>
      </w:pPr>
      <w:r>
        <w:t>Pacturion : identité, mission et positionnement</w:t>
      </w:r>
    </w:p>
    <w:p>
      <w:pPr>
        <w:keepNext/>
        <w:spacing w:after="320"/>
      </w:pPr>
      <w:r>
        <w:rPr>
          <w:rFonts w:ascii="Arial" w:hAnsi="Arial" w:eastAsia="Arial"/>
          <w:i/>
          <w:color w:val="66736B"/>
          <w:sz w:val="25"/>
        </w:rPr>
        <w:t>Une entreprise d’infrastructure, pas une vitrine crypto.</w:t>
      </w:r>
    </w:p>
    <w:p>
      <w:pPr>
        <w:pStyle w:val="Heading2"/>
      </w:pPr>
      <w:r>
        <w:t>Architecture de marque</w:t>
      </w:r>
    </w:p>
    <w:tbl>
      <w:tblPr>
        <w:tblStyle w:val="TableGrid"/>
        <w:tblW w:type="dxa" w:w="9500"/>
        <w:jc w:val="left"/>
        <w:tblLayout w:type="fixed"/>
        <w:tblLook w:firstColumn="1" w:firstRow="1" w:lastColumn="0" w:lastRow="0" w:noHBand="0" w:noVBand="1" w:val="04A0"/>
        <w:tblInd w:w="120" w:type="dxa"/>
      </w:tblPr>
      <w:tblGrid>
        <w:gridCol w:w="1900"/>
        <w:gridCol w:w="3800"/>
        <w:gridCol w:w="38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3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38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CE QU’IL NE FAUT PAS CONFONDRE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Entreprise, vision, recherche, solutions, relation client, partenariats</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 n’est pas le nom d’un token et ne se réduit pas à une blockchain</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VERIDIA Protocol</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Infrastructure technique d’engagements, règles, preuves, décisions et audit</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Le protocole ne prétend pas établir une vérité absolue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VERIDIA</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Actif numérique à supply fixe, actuellement non indispensable au produit</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Sa présence ne doit pas être forcée dans ALPHA ou BCS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ALPHA / BCS / Proof-of-Reality</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Pistes ou modules distincts avec maturités et preuves propres</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Ils ne constituent pas automatiquement un Core universel</w:t>
            </w:r>
          </w:p>
        </w:tc>
      </w:tr>
    </w:tbl>
    <w:p>
      <w:pPr>
        <w:spacing w:after="40"/>
      </w:pPr>
    </w:p>
    <w:p>
      <w:pPr>
        <w:pStyle w:val="Heading2"/>
      </w:pPr>
      <w:r>
        <w:t>Mission</w:t>
      </w:r>
    </w:p>
    <w:p>
      <w:pPr>
        <w:spacing w:after="140" w:line="307" w:lineRule="auto"/>
      </w:pPr>
      <w:r>
        <w:rPr>
          <w:rFonts w:ascii="Arial" w:hAnsi="Arial" w:eastAsia="Arial"/>
          <w:i w:val="0"/>
          <w:color w:val="162019"/>
          <w:sz w:val="20"/>
        </w:rPr>
        <w:t>Transformer des engagements numériques en processus plus clairs, vérifiables et opérationnellement exploitables, en définissant à l’avance les conditions, les sources admissibles, les responsabilités, les limites et les conséquences.</w:t>
      </w:r>
    </w:p>
    <w:p>
      <w:pPr>
        <w:pStyle w:val="Heading2"/>
      </w:pPr>
      <w:r>
        <w:t>Promesse de valeur</w:t>
      </w:r>
    </w:p>
    <w:p>
      <w:pPr>
        <w:spacing w:after="140" w:line="307" w:lineRule="auto"/>
      </w:pPr>
      <w:r>
        <w:rPr>
          <w:rFonts w:ascii="Arial" w:hAnsi="Arial" w:eastAsia="Arial"/>
          <w:i w:val="0"/>
          <w:color w:val="162019"/>
          <w:sz w:val="20"/>
        </w:rPr>
        <w:t>Pacturion vise les situations dans lesquelles plusieurs parties partagent un engagement mais ne disposent pas d’un état commun suffisamment lisible. La promesse est de réduire le coût de rapprochement, de rendre les décisions reproductibles et de limiter les conséquences à ce qui a été explicitement autorisé et financé.</w:t>
      </w:r>
    </w:p>
    <w:p>
      <w:pPr>
        <w:pStyle w:val="Heading2"/>
      </w:pPr>
      <w:r>
        <w:t>Principes de conception</w:t>
      </w:r>
    </w:p>
    <w:tbl>
      <w:tblPr>
        <w:tblStyle w:val="TableGrid"/>
        <w:tblW w:type="dxa" w:w="9500"/>
        <w:jc w:val="left"/>
        <w:tblLayout w:type="fixed"/>
        <w:tblLook w:firstColumn="1" w:firstRow="1" w:lastColumn="0" w:lastRow="0" w:noHBand="0" w:noVBand="1" w:val="04A0"/>
        <w:tblInd w:w="120" w:type="dxa"/>
      </w:tblPr>
      <w:tblGrid>
        <w:gridCol w:w="2300"/>
        <w:gridCol w:w="7200"/>
      </w:tblGrid>
      <w:tr>
        <w:trPr>
          <w:tblHeader w:val="true"/>
          <w:cantSplit/>
        </w:trPr>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PRINCIPE</w:t>
            </w:r>
          </w:p>
        </w:tc>
        <w:tc>
          <w:tcPr>
            <w:tcW w:type="dxa" w:w="7200"/>
            <w:shd w:fill="06110B"/>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TRADUCTION OPÉRATIONNELLE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9"/>
              </w:rPr>
              <w:t>Explicite</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9"/>
              </w:rPr>
              <w:t>Les conditions sont définies avant l’exécution.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9"/>
              </w:rPr>
              <w:t>Vérifiable</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9"/>
              </w:rPr>
              <w:t>Les éléments utiles peuvent être inspectés et leur origine est traçable.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9"/>
              </w:rPr>
              <w:t>Borné</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9"/>
              </w:rPr>
              <w:t>Le périmètre, les responsabilités, les montants et les conséquences sont plafonnés.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9"/>
              </w:rPr>
              <w:t>Reproductible</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9"/>
              </w:rPr>
              <w:t>Une même règle appliquée aux mêmes éléments produit un résultat cohérent.</w:t>
            </w:r>
          </w:p>
        </w:tc>
      </w:tr>
    </w:tbl>
    <w:p>
      <w:pPr>
        <w:spacing w:after="40"/>
      </w:pPr>
    </w:p>
    <w:p>
      <w:pPr>
        <w:pStyle w:val="Heading2"/>
      </w:pPr>
      <w:r>
        <w:t>Publics prioritaires</w:t>
      </w:r>
    </w:p>
    <w:p>
      <w:pPr>
        <w:numPr>
          <w:ilvl w:val="0"/>
          <w:numId w:val="10"/>
        </w:numPr>
        <w:spacing w:after="80" w:line="283" w:lineRule="auto"/>
      </w:pPr>
      <w:r>
        <w:rPr>
          <w:rFonts w:ascii="Arial" w:hAnsi="Arial" w:eastAsia="Arial"/>
          <w:color w:val="162019"/>
          <w:sz w:val="20"/>
        </w:rPr>
        <w:t>Équipes opérant des obligations numériques avec une échéance et une perte identifiable.</w:t>
      </w:r>
    </w:p>
    <w:p>
      <w:pPr>
        <w:numPr>
          <w:ilvl w:val="0"/>
          <w:numId w:val="10"/>
        </w:numPr>
        <w:spacing w:after="80" w:line="283" w:lineRule="auto"/>
      </w:pPr>
      <w:r>
        <w:rPr>
          <w:rFonts w:ascii="Arial" w:hAnsi="Arial" w:eastAsia="Arial"/>
          <w:color w:val="162019"/>
          <w:sz w:val="20"/>
        </w:rPr>
        <w:t>Protocoles EVM, DAO ou opérateurs de smart accounts confrontés à des workflows critiques et auditables.</w:t>
      </w:r>
    </w:p>
    <w:p>
      <w:pPr>
        <w:numPr>
          <w:ilvl w:val="0"/>
          <w:numId w:val="10"/>
        </w:numPr>
        <w:spacing w:after="80" w:line="283" w:lineRule="auto"/>
      </w:pPr>
      <w:r>
        <w:rPr>
          <w:rFonts w:ascii="Arial" w:hAnsi="Arial" w:eastAsia="Arial"/>
          <w:color w:val="162019"/>
          <w:sz w:val="20"/>
        </w:rPr>
        <w:t>Sponsors finançant des campagnes à éligibilité vérifiable et règlement plafonné.</w:t>
      </w:r>
    </w:p>
    <w:p>
      <w:pPr>
        <w:numPr>
          <w:ilvl w:val="0"/>
          <w:numId w:val="10"/>
        </w:numPr>
        <w:spacing w:after="80" w:line="283" w:lineRule="auto"/>
      </w:pPr>
      <w:r>
        <w:rPr>
          <w:rFonts w:ascii="Arial" w:hAnsi="Arial" w:eastAsia="Arial"/>
          <w:color w:val="162019"/>
          <w:sz w:val="20"/>
        </w:rPr>
        <w:t>Partenaires techniques, intégrateurs, auditeurs et acteurs de conformité participant à la réduction du risque.</w:t>
      </w:r>
    </w:p>
    <w:p>
      <w:pPr>
        <w:keepNext/>
        <w:spacing w:before="440" w:after="100"/>
      </w:pPr>
      <w:r>
        <w:rPr>
          <w:rFonts w:ascii="Arial" w:hAnsi="Arial" w:eastAsia="Arial"/>
          <w:b/>
          <w:color w:val="C6A15B"/>
          <w:sz w:val="16"/>
        </w:rPr>
        <w:t>CHAPITRE 03</w:t>
      </w:r>
    </w:p>
    <w:p>
      <w:pPr>
        <w:pStyle w:val="Heading1"/>
        <w:pageBreakBefore w:val="0"/>
      </w:pPr>
      <w:r>
        <w:t>Le problème et la proposition de valeur</w:t>
      </w:r>
    </w:p>
    <w:p>
      <w:pPr>
        <w:keepNext/>
        <w:spacing w:after="320"/>
      </w:pPr>
      <w:r>
        <w:rPr>
          <w:rFonts w:ascii="Arial" w:hAnsi="Arial" w:eastAsia="Arial"/>
          <w:i/>
          <w:color w:val="66736B"/>
          <w:sz w:val="25"/>
        </w:rPr>
        <w:t>La blockchain n’est pertinente que si elle réduit un coût de confiance réel.</w:t>
      </w:r>
    </w:p>
    <w:p>
      <w:pPr>
        <w:pStyle w:val="Heading2"/>
      </w:pPr>
      <w:r>
        <w:t>Le problème opérationnel</w:t>
      </w:r>
    </w:p>
    <w:p>
      <w:pPr>
        <w:spacing w:after="140" w:line="307" w:lineRule="auto"/>
      </w:pPr>
      <w:r>
        <w:rPr>
          <w:rFonts w:ascii="Arial" w:hAnsi="Arial" w:eastAsia="Arial"/>
          <w:i w:val="0"/>
          <w:color w:val="162019"/>
          <w:sz w:val="20"/>
        </w:rPr>
        <w:t>Beaucoup d’organisations peuvent exécuter un workflow avec une base de données, des journaux internes et un contrat classique. Cette architecture reste la référence lorsqu’un opérateur unique est accepté par toutes les parties. Pacturion ne doit pas la remplacer par principe.</w:t>
      </w:r>
    </w:p>
    <w:p>
      <w:pPr>
        <w:spacing w:after="140" w:line="307" w:lineRule="auto"/>
      </w:pPr>
      <w:r>
        <w:rPr>
          <w:rFonts w:ascii="Arial" w:hAnsi="Arial" w:eastAsia="Arial"/>
          <w:i w:val="0"/>
          <w:color w:val="162019"/>
          <w:sz w:val="20"/>
        </w:rPr>
        <w:t>L’intérêt d’une infrastructure partagée apparaît lorsque les parties doivent reconstituer le même historique, vérifier une échéance, authentifier des sources, démontrer qu’une règle a été appliquée ou déclencher une conséquence déjà autorisée sans dépendre d’une modification discrétionnaire après les faits.</w:t>
      </w:r>
    </w:p>
    <w:p>
      <w:pPr>
        <w:pStyle w:val="Heading2"/>
      </w:pPr>
      <w:r>
        <w:t>Chaîne de valeur cible</w:t>
      </w:r>
    </w:p>
    <w:tbl>
      <w:tblPr>
        <w:tblStyle w:val="TableGrid"/>
        <w:tblW w:type="dxa" w:w="9500"/>
        <w:jc w:val="left"/>
        <w:tblLayout w:type="fixed"/>
        <w:tblLook w:firstColumn="1" w:firstRow="1" w:lastColumn="0" w:lastRow="0" w:noHBand="0" w:noVBand="1" w:val="04A0"/>
        <w:tblInd w:w="120" w:type="dxa"/>
      </w:tblPr>
      <w:tblGrid>
        <w:gridCol w:w="1500"/>
        <w:gridCol w:w="4300"/>
        <w:gridCol w:w="37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ÉTAPE</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QUESTION</w:t>
            </w:r>
          </w:p>
        </w:tc>
        <w:tc>
          <w:tcPr>
            <w:tcW w:type="dxa" w:w="3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SORTIE ATTENDUE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Engagement</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Qu’est-ce qui est promis, par qui, où et jusqu’à quand ?</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Objet signé, délimité et versionné</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Règles</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Quelles conditions, exceptions et responsabilités s’appliquent ?</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Politique immuable pour l’engagement</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Preuves</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Quelles sources sont autorisées et comment leur intégrité est-elle vérifiée ?</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Éléments authentifiés et normalisés</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Décision</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Quel résultat découle des règles sans inventer de certitude ?</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SUCCESS, exclusions, fautes bornées ou UNDETERMINED</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Traçabilité</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Comment reproduire le chemin entre engagement et résultat ?</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Journal d’audit et certificat de preuve</w:t>
            </w:r>
          </w:p>
        </w:tc>
      </w:tr>
    </w:tbl>
    <w:p>
      <w:pPr>
        <w:spacing w:after="40"/>
      </w:pPr>
    </w:p>
    <w:p>
      <w:pPr>
        <w:pStyle w:val="Heading2"/>
      </w:pPr>
      <w:r>
        <w:t>Test de pertinence</w:t>
      </w:r>
    </w:p>
    <w:p>
      <w:pPr>
        <w:numPr>
          <w:ilvl w:val="0"/>
          <w:numId w:val="10"/>
        </w:numPr>
        <w:spacing w:after="80" w:line="283" w:lineRule="auto"/>
      </w:pPr>
      <w:r>
        <w:rPr>
          <w:rFonts w:ascii="Arial" w:hAnsi="Arial" w:eastAsia="Arial"/>
          <w:color w:val="162019"/>
          <w:sz w:val="20"/>
        </w:rPr>
        <w:t>L’obligation est-elle observable de manière suffisamment objective ?</w:t>
      </w:r>
    </w:p>
    <w:p>
      <w:pPr>
        <w:numPr>
          <w:ilvl w:val="0"/>
          <w:numId w:val="10"/>
        </w:numPr>
        <w:spacing w:after="80" w:line="283" w:lineRule="auto"/>
      </w:pPr>
      <w:r>
        <w:rPr>
          <w:rFonts w:ascii="Arial" w:hAnsi="Arial" w:eastAsia="Arial"/>
          <w:color w:val="162019"/>
          <w:sz w:val="20"/>
        </w:rPr>
        <w:t>Les paramètres critiques peuvent-ils être figés avant l’acceptation ?</w:t>
      </w:r>
    </w:p>
    <w:p>
      <w:pPr>
        <w:numPr>
          <w:ilvl w:val="0"/>
          <w:numId w:val="10"/>
        </w:numPr>
        <w:spacing w:after="80" w:line="283" w:lineRule="auto"/>
      </w:pPr>
      <w:r>
        <w:rPr>
          <w:rFonts w:ascii="Arial" w:hAnsi="Arial" w:eastAsia="Arial"/>
          <w:color w:val="162019"/>
          <w:sz w:val="20"/>
        </w:rPr>
        <w:t>Une erreur ou un retard crée-t-il une perte identifiable ?</w:t>
      </w:r>
    </w:p>
    <w:p>
      <w:pPr>
        <w:numPr>
          <w:ilvl w:val="0"/>
          <w:numId w:val="10"/>
        </w:numPr>
        <w:spacing w:after="80" w:line="283" w:lineRule="auto"/>
      </w:pPr>
      <w:r>
        <w:rPr>
          <w:rFonts w:ascii="Arial" w:hAnsi="Arial" w:eastAsia="Arial"/>
          <w:color w:val="162019"/>
          <w:sz w:val="20"/>
        </w:rPr>
        <w:t>Plusieurs parties ont-elles réellement besoin d’un état commun ?</w:t>
      </w:r>
    </w:p>
    <w:p>
      <w:pPr>
        <w:numPr>
          <w:ilvl w:val="0"/>
          <w:numId w:val="10"/>
        </w:numPr>
        <w:spacing w:after="80" w:line="283" w:lineRule="auto"/>
      </w:pPr>
      <w:r>
        <w:rPr>
          <w:rFonts w:ascii="Arial" w:hAnsi="Arial" w:eastAsia="Arial"/>
          <w:color w:val="162019"/>
          <w:sz w:val="20"/>
        </w:rPr>
        <w:t>La meilleure alternative existante est-elle insuffisante sur le coût, la preuve, le recours ou l’intégration ?</w:t>
      </w:r>
    </w:p>
    <w:p>
      <w:pPr>
        <w:numPr>
          <w:ilvl w:val="0"/>
          <w:numId w:val="10"/>
        </w:numPr>
        <w:spacing w:after="80" w:line="283" w:lineRule="auto"/>
      </w:pPr>
      <w:r>
        <w:rPr>
          <w:rFonts w:ascii="Arial" w:hAnsi="Arial" w:eastAsia="Arial"/>
          <w:color w:val="162019"/>
          <w:sz w:val="20"/>
        </w:rPr>
        <w:t>Un décideur accepte-t-il de payer pour réduire ce risque ?</w:t>
      </w:r>
    </w:p>
    <w:p>
      <w:pPr>
        <w:spacing w:before="100" w:after="180" w:line="283" w:lineRule="auto"/>
        <w:ind w:left="227" w:right="170"/>
        <w:shd w:fill="F6F0E3"/>
        <w:pBdr>
          <w:left w:val="single" w:sz="18" w:space="8" w:color="C6A15B"/>
        </w:pBdr>
      </w:pPr>
      <w:r>
        <w:rPr>
          <w:rFonts w:ascii="Arial" w:hAnsi="Arial" w:eastAsia="Arial"/>
          <w:b/>
          <w:color w:val="C6A15B"/>
          <w:sz w:val="16"/>
        </w:rPr>
        <w:t>CONDITION D’ARRÊT</w:t>
        <w:br/>
      </w:r>
      <w:r>
        <w:rPr>
          <w:rFonts w:ascii="Arial" w:hAnsi="Arial" w:eastAsia="Arial"/>
          <w:b w:val="0"/>
          <w:color w:val="162019"/>
          <w:sz w:val="20"/>
        </w:rPr>
        <w:t>Si une base de données, un bot, un relayer, une assurance contractuelle ou un outil d’automatisation existant résout mieux le problème, Pacturion doit refuser le cas d’usage ou réduire son périmètre.</w:t>
      </w:r>
    </w:p>
    <w:p>
      <w:pPr>
        <w:keepNext/>
        <w:spacing w:before="440" w:after="100"/>
      </w:pPr>
      <w:r>
        <w:rPr>
          <w:rFonts w:ascii="Arial" w:hAnsi="Arial" w:eastAsia="Arial"/>
          <w:b/>
          <w:color w:val="C6A15B"/>
          <w:sz w:val="16"/>
        </w:rPr>
        <w:t>CHAPITRE 04</w:t>
      </w:r>
    </w:p>
    <w:p>
      <w:pPr>
        <w:pStyle w:val="Heading1"/>
        <w:pageBreakBefore w:val="0"/>
      </w:pPr>
      <w:r>
        <w:t>VERIDIA Protocol : architecture et frontières de confiance</w:t>
      </w:r>
    </w:p>
    <w:p>
      <w:pPr>
        <w:keepNext/>
        <w:spacing w:after="320"/>
      </w:pPr>
      <w:r>
        <w:rPr>
          <w:rFonts w:ascii="Arial" w:hAnsi="Arial" w:eastAsia="Arial"/>
          <w:i/>
          <w:color w:val="66736B"/>
          <w:sz w:val="25"/>
        </w:rPr>
        <w:t>Une infrastructure modulaire qui borne ce qu’elle sait et ce qu’elle ne sait pas.</w:t>
      </w:r>
    </w:p>
    <w:p>
      <w:pPr>
        <w:pStyle w:val="Heading2"/>
      </w:pPr>
      <w:r>
        <w:t>Architecture fonctionnelle</w:t>
      </w:r>
    </w:p>
    <w:tbl>
      <w:tblPr>
        <w:tblStyle w:val="TableGrid"/>
        <w:tblW w:type="dxa" w:w="9500"/>
        <w:jc w:val="left"/>
        <w:tblLayout w:type="fixed"/>
        <w:tblLook w:firstColumn="1" w:firstRow="1" w:lastColumn="0" w:lastRow="0" w:noHBand="0" w:noVBand="1" w:val="04A0"/>
        <w:tblInd w:w="120" w:type="dxa"/>
      </w:tblPr>
      <w:tblGrid>
        <w:gridCol w:w="1800"/>
        <w:gridCol w:w="4700"/>
        <w:gridCol w:w="3000"/>
      </w:tblGrid>
      <w:tr>
        <w:trPr>
          <w:tblHeader w:val="true"/>
          <w:cantSplit/>
        </w:trPr>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COUCHE</w:t>
            </w:r>
          </w:p>
        </w:tc>
        <w:tc>
          <w:tcPr>
            <w:tcW w:type="dxa" w:w="4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3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 / RÉSERVE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Interfaces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Créer, suivre et expliquer les engagements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Prototype et développement</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API &amp; identité</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Sessions, autorisations, nonces, validation stricte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Authentification et scopes à industrialiser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Proof / Trust Engine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Normaliser, corréler, appliquer la politique et classifier</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ALPHA local durci</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Collecteurs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Observer des sources permises et signer les éléments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Registre, indépendance et rotation à démontrer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Indexer</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Reconstituer l’état canonique, confirmations et reorgs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Tests locaux ; durabilité à finaliser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Persistance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Transactions, idempotence, reprise et audit trail</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Socle opérationnel requis</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Contrats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Droits, événements, caps et conséquences autorisées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Phase 1 et testnet ; production non autorisée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Opérations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Clés, monitoring, incidents, changements et rollback</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auditer et industrialiser</w:t>
            </w:r>
          </w:p>
        </w:tc>
      </w:tr>
    </w:tbl>
    <w:p>
      <w:pPr>
        <w:spacing w:after="40"/>
      </w:pPr>
    </w:p>
    <w:p>
      <w:pPr>
        <w:pStyle w:val="Heading2"/>
      </w:pPr>
      <w:r>
        <w:t>Acteurs et responsabilités</w:t>
      </w:r>
    </w:p>
    <w:tbl>
      <w:tblPr>
        <w:tblStyle w:val="TableGrid"/>
        <w:tblW w:type="dxa" w:w="9500"/>
        <w:jc w:val="left"/>
        <w:tblLayout w:type="fixed"/>
        <w:tblLook w:firstColumn="1" w:firstRow="1" w:lastColumn="0" w:lastRow="0" w:noHBand="0" w:noVBand="1" w:val="04A0"/>
        <w:tblInd w:w="120" w:type="dxa"/>
      </w:tblPr>
      <w:tblGrid>
        <w:gridCol w:w="1800"/>
        <w:gridCol w:w="4200"/>
        <w:gridCol w:w="35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ACTEUR</w:t>
            </w:r>
          </w:p>
        </w:tc>
        <w:tc>
          <w:tcPr>
            <w:tcW w:type="dxa" w:w="4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3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LIMITE DE CONFIANCE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Demandeur</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Définit une obligation permise et finance les conséquences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Ne prouve pas la validité future des conditions</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Fournisseur</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Accepte et exécute l’action</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Son absence d’action n’est pas automatiquement une faute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Collecteur</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Observe une source et authentifie une preuve</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Ne garantit pas la vérité universelle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Moteur</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Vérifie format, version, source, cohérence et finalité</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Ne résout pas les faits subjectifs</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Indexer</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Traite l’ordre canonique et les réorganisations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Ne conclut pas à l’absence avant la finalité</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Gouvernance</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Modifie des paramètres autorisés sous délai</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Ne peut réécrire l’histoire ni inventer une faute</w:t>
            </w:r>
          </w:p>
        </w:tc>
      </w:tr>
    </w:tbl>
    <w:p>
      <w:pPr>
        <w:spacing w:after="40"/>
      </w:pPr>
    </w:p>
    <w:p>
      <w:pPr>
        <w:pStyle w:val="Heading2"/>
      </w:pPr>
      <w:r>
        <w:t>Règles de confiance</w:t>
      </w:r>
    </w:p>
    <w:p>
      <w:pPr>
        <w:numPr>
          <w:ilvl w:val="0"/>
          <w:numId w:val="10"/>
        </w:numPr>
        <w:spacing w:after="80" w:line="283" w:lineRule="auto"/>
      </w:pPr>
      <w:r>
        <w:rPr>
          <w:rFonts w:ascii="Arial" w:hAnsi="Arial" w:eastAsia="Arial"/>
          <w:color w:val="162019"/>
          <w:sz w:val="20"/>
        </w:rPr>
        <w:t>La chaîne garantit un ordre d’exécution, pas la qualité d’une donnée importée.</w:t>
      </w:r>
    </w:p>
    <w:p>
      <w:pPr>
        <w:numPr>
          <w:ilvl w:val="0"/>
          <w:numId w:val="10"/>
        </w:numPr>
        <w:spacing w:after="80" w:line="283" w:lineRule="auto"/>
      </w:pPr>
      <w:r>
        <w:rPr>
          <w:rFonts w:ascii="Arial" w:hAnsi="Arial" w:eastAsia="Arial"/>
          <w:color w:val="162019"/>
          <w:sz w:val="20"/>
        </w:rPr>
        <w:t>Un hash garantit l’intégrité du contenu correspondant, pas sa véracité ni l’identité de son auteur sans mécanisme associé.</w:t>
      </w:r>
    </w:p>
    <w:p>
      <w:pPr>
        <w:numPr>
          <w:ilvl w:val="0"/>
          <w:numId w:val="10"/>
        </w:numPr>
        <w:spacing w:after="80" w:line="283" w:lineRule="auto"/>
      </w:pPr>
      <w:r>
        <w:rPr>
          <w:rFonts w:ascii="Arial" w:hAnsi="Arial" w:eastAsia="Arial"/>
          <w:color w:val="162019"/>
          <w:sz w:val="20"/>
        </w:rPr>
        <w:t>Un collecteur authentifie l’origine de son observation, mais peut tomber en panne, être compromis ou colluder.</w:t>
      </w:r>
    </w:p>
    <w:p>
      <w:pPr>
        <w:numPr>
          <w:ilvl w:val="0"/>
          <w:numId w:val="10"/>
        </w:numPr>
        <w:spacing w:after="80" w:line="283" w:lineRule="auto"/>
      </w:pPr>
      <w:r>
        <w:rPr>
          <w:rFonts w:ascii="Arial" w:hAnsi="Arial" w:eastAsia="Arial"/>
          <w:color w:val="162019"/>
          <w:sz w:val="20"/>
        </w:rPr>
        <w:t>La gouvernance fournit une procédure ; un vote ne transforme pas une appréciation en preuve objective.</w:t>
      </w:r>
    </w:p>
    <w:p>
      <w:pPr>
        <w:numPr>
          <w:ilvl w:val="0"/>
          <w:numId w:val="10"/>
        </w:numPr>
        <w:spacing w:after="80" w:line="283" w:lineRule="auto"/>
      </w:pPr>
      <w:r>
        <w:rPr>
          <w:rFonts w:ascii="Arial" w:hAnsi="Arial" w:eastAsia="Arial"/>
          <w:color w:val="162019"/>
          <w:sz w:val="20"/>
        </w:rPr>
        <w:t>En l’absence de preuve suffisante, le moteur doit échouer fermé et produire UNDETERMINED.</w:t>
      </w:r>
    </w:p>
    <w:p>
      <w:pPr>
        <w:keepNext/>
        <w:spacing w:before="440" w:after="100"/>
      </w:pPr>
      <w:r>
        <w:rPr>
          <w:rFonts w:ascii="Arial" w:hAnsi="Arial" w:eastAsia="Arial"/>
          <w:b/>
          <w:color w:val="C6A15B"/>
          <w:sz w:val="16"/>
        </w:rPr>
        <w:t>CHAPITRE 05</w:t>
      </w:r>
    </w:p>
    <w:p>
      <w:pPr>
        <w:pStyle w:val="Heading1"/>
        <w:pageBreakBefore w:val="0"/>
      </w:pPr>
      <w:r>
        <w:t>Pistes produit : ALPHA, BCS et Proof-of-Reality</w:t>
      </w:r>
    </w:p>
    <w:p>
      <w:pPr>
        <w:keepNext/>
        <w:spacing w:after="320"/>
      </w:pPr>
      <w:r>
        <w:rPr>
          <w:rFonts w:ascii="Arial" w:hAnsi="Arial" w:eastAsia="Arial"/>
          <w:i/>
          <w:color w:val="66736B"/>
          <w:sz w:val="25"/>
        </w:rPr>
        <w:t>Trois axes séparés, trois preuves à obtenir.</w:t>
      </w:r>
    </w:p>
    <w:p>
      <w:pPr>
        <w:pStyle w:val="Heading2"/>
      </w:pPr>
      <w:r>
        <w:t>ALPHA — engagement de service objectivement observable</w:t>
      </w:r>
    </w:p>
    <w:p>
      <w:pPr>
        <w:spacing w:after="140" w:line="307" w:lineRule="auto"/>
      </w:pPr>
      <w:r>
        <w:rPr>
          <w:rFonts w:ascii="Arial" w:hAnsi="Arial" w:eastAsia="Arial"/>
          <w:i w:val="0"/>
          <w:color w:val="162019"/>
          <w:sz w:val="20"/>
        </w:rPr>
        <w:t>ALPHA est la piste produit prioritaire. Son cas le plus étroit est une action on-chain prédéfinie, associée à une échéance immuable et à une conséquence bornée. Le demandeur fixe le contrat cible, la fonction, les paramètres, les acteurs, la fenêtre, les confirmations, les exclusions, les sources et le plafond économique. Le fournisseur accepte l’intégralité de cet engagement.</w:t>
      </w:r>
    </w:p>
    <w:tbl>
      <w:tblPr>
        <w:tblStyle w:val="TableGrid"/>
        <w:tblW w:type="dxa" w:w="9500"/>
        <w:jc w:val="left"/>
        <w:tblLayout w:type="fixed"/>
        <w:tblLook w:firstColumn="1" w:firstRow="1" w:lastColumn="0" w:lastRow="0" w:noHBand="0" w:noVBand="1" w:val="04A0"/>
        <w:tblInd w:w="120" w:type="dxa"/>
      </w:tblPr>
      <w:tblGrid>
        <w:gridCol w:w="2300"/>
        <w:gridCol w:w="4500"/>
        <w:gridCol w:w="2700"/>
      </w:tblGrid>
      <w:tr>
        <w:trPr>
          <w:tblHeader w:val="true"/>
          <w:cantSplit/>
        </w:trPr>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c>
          <w:tcPr>
            <w:tcW w:type="dxa" w:w="4500"/>
            <w:shd w:fill="06110B"/>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MINIMALE</w:t>
            </w:r>
          </w:p>
        </w:tc>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EFFET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SUCCESS</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Événement canonique conforme avant l’échéance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Clôture sans remède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EXCLUDED</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Cas explicitement exclu ou état cible incohérent</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 de faute attribuée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REQUESTER_FAULT</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Paramètres, autorisations ou fonds du demandeur invalides</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Aucune faute fournisseur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PROVIDER_FAULT</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Preuve négative indépendante et quorum après deadline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Éligibilité bornée à une conséquence préfinancée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UNDETERMINED</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Preuve insuffisante, source indisponible ou conflit</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 closed ; revue requise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CRITÈRE PRODUIT</w:t>
        <w:br/>
      </w:r>
      <w:r>
        <w:rPr>
          <w:rFonts w:ascii="Arial" w:hAnsi="Arial" w:eastAsia="Arial"/>
          <w:b w:val="0"/>
          <w:color w:val="162019"/>
          <w:sz w:val="20"/>
        </w:rPr>
        <w:t>ALPHA n’est crédible que si le client paie pour une obligation précise et un recours défini. La sophistication technique ne compense pas une douleur inexistante.</w:t>
      </w:r>
    </w:p>
    <w:p>
      <w:pPr>
        <w:pStyle w:val="Heading2"/>
      </w:pPr>
      <w:r>
        <w:t>BCS — Bounded Campaign Settlement</w:t>
      </w:r>
    </w:p>
    <w:p>
      <w:pPr>
        <w:spacing w:after="140" w:line="307" w:lineRule="auto"/>
      </w:pPr>
      <w:r>
        <w:rPr>
          <w:rFonts w:ascii="Arial" w:hAnsi="Arial" w:eastAsia="Arial"/>
          <w:i w:val="0"/>
          <w:color w:val="162019"/>
          <w:sz w:val="20"/>
        </w:rPr>
        <w:t>BCS est un module indépendant de règlement de campagne. Un sponsor dépose à l’avance un actif ERC-20 approuvé. Le contrat sépare le principal destiné aux bénéficiaires, les frais divulgués et les réserves autorisées. L’exposition du sponsor, la campagne, l’éligibilité et le remboursement résiduel sont bornés avant ouverture.</w:t>
      </w:r>
    </w:p>
    <w:p>
      <w:pPr>
        <w:numPr>
          <w:ilvl w:val="0"/>
          <w:numId w:val="10"/>
        </w:numPr>
        <w:spacing w:after="80" w:line="283" w:lineRule="auto"/>
      </w:pPr>
      <w:r>
        <w:rPr>
          <w:rFonts w:ascii="Arial" w:hAnsi="Arial" w:eastAsia="Arial"/>
          <w:color w:val="162019"/>
          <w:sz w:val="20"/>
        </w:rPr>
        <w:t>Le paiement des bénéficiaires ne dépend jamais de l’arrivée de nouveaux participants.</w:t>
      </w:r>
    </w:p>
    <w:p>
      <w:pPr>
        <w:numPr>
          <w:ilvl w:val="0"/>
          <w:numId w:val="10"/>
        </w:numPr>
        <w:spacing w:after="80" w:line="283" w:lineRule="auto"/>
      </w:pPr>
      <w:r>
        <w:rPr>
          <w:rFonts w:ascii="Arial" w:hAnsi="Arial" w:eastAsia="Arial"/>
          <w:color w:val="162019"/>
          <w:sz w:val="20"/>
        </w:rPr>
        <w:t>VERIDIA n’est pas imposé comme actif de règlement ; un stablecoin ou autre actif approuvé peut être préférable.</w:t>
      </w:r>
    </w:p>
    <w:p>
      <w:pPr>
        <w:numPr>
          <w:ilvl w:val="0"/>
          <w:numId w:val="10"/>
        </w:numPr>
        <w:spacing w:after="80" w:line="283" w:lineRule="auto"/>
      </w:pPr>
      <w:r>
        <w:rPr>
          <w:rFonts w:ascii="Arial" w:hAnsi="Arial" w:eastAsia="Arial"/>
          <w:color w:val="162019"/>
          <w:sz w:val="20"/>
        </w:rPr>
        <w:t>L’escrow du sponsor ne peut pas être redirigé par la trésorerie ou la gouvernance.</w:t>
      </w:r>
    </w:p>
    <w:p>
      <w:pPr>
        <w:numPr>
          <w:ilvl w:val="0"/>
          <w:numId w:val="10"/>
        </w:numPr>
        <w:spacing w:after="80" w:line="283" w:lineRule="auto"/>
      </w:pPr>
      <w:r>
        <w:rPr>
          <w:rFonts w:ascii="Arial" w:hAnsi="Arial" w:eastAsia="Arial"/>
          <w:color w:val="162019"/>
          <w:sz w:val="20"/>
        </w:rPr>
        <w:t>Tout matching éventuel provient uniquement d’une fraction plafonnée de frais déjà accumulés.</w:t>
      </w:r>
    </w:p>
    <w:p>
      <w:pPr>
        <w:numPr>
          <w:ilvl w:val="0"/>
          <w:numId w:val="10"/>
        </w:numPr>
        <w:spacing w:after="80" w:line="283" w:lineRule="auto"/>
      </w:pPr>
      <w:r>
        <w:rPr>
          <w:rFonts w:ascii="Arial" w:hAnsi="Arial" w:eastAsia="Arial"/>
          <w:color w:val="162019"/>
          <w:sz w:val="20"/>
        </w:rPr>
        <w:t>L’anti-double-claim et la politique d’identité doivent être explicites.</w:t>
      </w:r>
    </w:p>
    <w:p>
      <w:pPr>
        <w:pStyle w:val="Heading2"/>
      </w:pPr>
      <w:r>
        <w:t>Proof-of-Reality — axe R&amp;D physique</w:t>
      </w:r>
    </w:p>
    <w:p>
      <w:pPr>
        <w:spacing w:after="140" w:line="307" w:lineRule="auto"/>
      </w:pPr>
      <w:r>
        <w:rPr>
          <w:rFonts w:ascii="Arial" w:hAnsi="Arial" w:eastAsia="Arial"/>
          <w:i w:val="0"/>
          <w:color w:val="162019"/>
          <w:sz w:val="20"/>
        </w:rPr>
        <w:t>Proof-of-Reality étudie la production de preuves à partir d’équipements physiques, de secure elements, de signatures matérielles, de calibration et de corrélation multi-source. Cet axe ne doit pas être présenté comme un produit mature. Une signature matérielle prouve qu’un équipement a émis un message ; elle ne prouve pas à elle seule que le phénomène physique décrit est exact.</w:t>
      </w:r>
    </w:p>
    <w:tbl>
      <w:tblPr>
        <w:tblStyle w:val="TableGrid"/>
        <w:tblW w:type="dxa" w:w="9500"/>
        <w:jc w:val="left"/>
        <w:tblLayout w:type="fixed"/>
        <w:tblLook w:firstColumn="1" w:firstRow="1" w:lastColumn="0" w:lastRow="0" w:noHBand="0" w:noVBand="1" w:val="04A0"/>
        <w:tblInd w:w="120" w:type="dxa"/>
      </w:tblPr>
      <w:tblGrid>
        <w:gridCol w:w="2200"/>
        <w:gridCol w:w="2600"/>
        <w:gridCol w:w="47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AXE</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MATURITÉ</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MANQUANTE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ALPHA</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Priorité produit / validation</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Acheteur, workflow, prix, intégration et renouvellement</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BCS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Module indépendant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Avantage sur les solutions d’allocation et de paiement existantes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Proof-of-Reality</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R&amp;D long terme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Chaîne matérielle, calibration, identité et modèle de menace terrain</w:t>
            </w:r>
          </w:p>
        </w:tc>
      </w:tr>
    </w:tbl>
    <w:p>
      <w:pPr>
        <w:spacing w:after="40"/>
      </w:pPr>
    </w:p>
    <w:p>
      <w:pPr>
        <w:keepNext/>
        <w:spacing w:before="440" w:after="100"/>
      </w:pPr>
      <w:r>
        <w:rPr>
          <w:rFonts w:ascii="Arial" w:hAnsi="Arial" w:eastAsia="Arial"/>
          <w:b/>
          <w:color w:val="C6A15B"/>
          <w:sz w:val="16"/>
        </w:rPr>
        <w:t>CHAPITRE 06</w:t>
      </w:r>
    </w:p>
    <w:p>
      <w:pPr>
        <w:pStyle w:val="Heading1"/>
        <w:pageBreakBefore w:val="0"/>
      </w:pPr>
      <w:r>
        <w:t>Modèle économique et place de VERIDIA</w:t>
      </w:r>
    </w:p>
    <w:p>
      <w:pPr>
        <w:keepNext/>
        <w:spacing w:after="320"/>
      </w:pPr>
      <w:r>
        <w:rPr>
          <w:rFonts w:ascii="Arial" w:hAnsi="Arial" w:eastAsia="Arial"/>
          <w:i/>
          <w:color w:val="66736B"/>
          <w:sz w:val="25"/>
        </w:rPr>
        <w:t>La valeur doit être financée par un client, jamais par une boucle spéculative.</w:t>
      </w:r>
    </w:p>
    <w:p>
      <w:pPr>
        <w:pStyle w:val="Heading2"/>
      </w:pPr>
      <w:r>
        <w:t>Sources de revenus admissibles</w:t>
      </w:r>
    </w:p>
    <w:p>
      <w:pPr>
        <w:numPr>
          <w:ilvl w:val="0"/>
          <w:numId w:val="10"/>
        </w:numPr>
        <w:spacing w:after="80" w:line="283" w:lineRule="auto"/>
      </w:pPr>
      <w:r>
        <w:rPr>
          <w:rFonts w:ascii="Arial" w:hAnsi="Arial" w:eastAsia="Arial"/>
          <w:color w:val="162019"/>
          <w:sz w:val="20"/>
        </w:rPr>
        <w:t>Frais d’intégration et de paramétrage d’un template d’engagement.</w:t>
      </w:r>
    </w:p>
    <w:p>
      <w:pPr>
        <w:numPr>
          <w:ilvl w:val="0"/>
          <w:numId w:val="10"/>
        </w:numPr>
        <w:spacing w:after="80" w:line="283" w:lineRule="auto"/>
      </w:pPr>
      <w:r>
        <w:rPr>
          <w:rFonts w:ascii="Arial" w:hAnsi="Arial" w:eastAsia="Arial"/>
          <w:color w:val="162019"/>
          <w:sz w:val="20"/>
        </w:rPr>
        <w:t>Abonnement pour monitoring, traçabilité, alertes, preuves et rapports.</w:t>
      </w:r>
    </w:p>
    <w:p>
      <w:pPr>
        <w:numPr>
          <w:ilvl w:val="0"/>
          <w:numId w:val="10"/>
        </w:numPr>
        <w:spacing w:after="80" w:line="283" w:lineRule="auto"/>
      </w:pPr>
      <w:r>
        <w:rPr>
          <w:rFonts w:ascii="Arial" w:hAnsi="Arial" w:eastAsia="Arial"/>
          <w:color w:val="162019"/>
          <w:sz w:val="20"/>
        </w:rPr>
        <w:t>Frais explicites de traitement d’une campagne BCS.</w:t>
      </w:r>
    </w:p>
    <w:p>
      <w:pPr>
        <w:numPr>
          <w:ilvl w:val="0"/>
          <w:numId w:val="10"/>
        </w:numPr>
        <w:spacing w:after="80" w:line="283" w:lineRule="auto"/>
      </w:pPr>
      <w:r>
        <w:rPr>
          <w:rFonts w:ascii="Arial" w:hAnsi="Arial" w:eastAsia="Arial"/>
          <w:color w:val="162019"/>
          <w:sz w:val="20"/>
        </w:rPr>
        <w:t>Services d’auditabilité, d’export de preuves et d’accompagnement opérationnel.</w:t>
      </w:r>
    </w:p>
    <w:p>
      <w:pPr>
        <w:numPr>
          <w:ilvl w:val="0"/>
          <w:numId w:val="10"/>
        </w:numPr>
        <w:spacing w:after="80" w:line="283" w:lineRule="auto"/>
      </w:pPr>
      <w:r>
        <w:rPr>
          <w:rFonts w:ascii="Arial" w:hAnsi="Arial" w:eastAsia="Arial"/>
          <w:color w:val="162019"/>
          <w:sz w:val="20"/>
        </w:rPr>
        <w:t>Licences ou support entreprise lorsque les responsabilités et SLA sont contractuellement définis.</w:t>
      </w:r>
    </w:p>
    <w:p>
      <w:pPr>
        <w:pStyle w:val="Heading2"/>
      </w:pPr>
      <w:r>
        <w:t>Contraintes économiques</w:t>
      </w:r>
    </w:p>
    <w:tbl>
      <w:tblPr>
        <w:tblStyle w:val="TableGrid"/>
        <w:tblW w:type="dxa" w:w="9500"/>
        <w:jc w:val="left"/>
        <w:tblLayout w:type="fixed"/>
        <w:tblLook w:firstColumn="1" w:firstRow="1" w:lastColumn="0" w:lastRow="0" w:noHBand="0" w:noVBand="1" w:val="04A0"/>
        <w:tblInd w:w="120" w:type="dxa"/>
      </w:tblPr>
      <w:tblGrid>
        <w:gridCol w:w="2300"/>
        <w:gridCol w:w="7200"/>
      </w:tblGrid>
      <w:tr>
        <w:trPr>
          <w:tblHeader w:val="true"/>
          <w:cantSplit/>
        </w:trPr>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PRINCIPE</w:t>
            </w:r>
          </w:p>
        </w:tc>
        <w:tc>
          <w:tcPr>
            <w:tcW w:type="dxa" w:w="72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RÈGLE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Conservation</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Toute sortie a une source préexistante : paiement client, escrow sponsor, frais accumulés ou collatéral volontaire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Séparation</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Escrow, frais, réserves, trésorerie, collatéral et allocations restent dans des registres distincts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Caps</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Montants, campagnes, récompenses, délais et pouvoirs sont plafonnés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Non-circularité</w:t>
            </w:r>
          </w:p>
        </w:tc>
        <w:tc>
          <w:tcPr>
            <w:tcW w:type="dxa" w:w="7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Aucun paiement ne dépend de nouveaux entrants, d’un prix futur ou d’une émission supplémentaire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Transparence</w:t>
            </w:r>
          </w:p>
        </w:tc>
        <w:tc>
          <w:tcPr>
            <w:tcW w:type="dxa" w:w="7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Frais, sources de financement, remboursements et exceptions sont divulgués avant engagement</w:t>
            </w:r>
          </w:p>
        </w:tc>
      </w:tr>
    </w:tbl>
    <w:p>
      <w:pPr>
        <w:spacing w:after="40"/>
      </w:pPr>
    </w:p>
    <w:p>
      <w:pPr>
        <w:pStyle w:val="Heading2"/>
      </w:pPr>
      <w:r>
        <w:t>VERIDIA : paramètres et restrictions</w:t>
      </w:r>
    </w:p>
    <w:tbl>
      <w:tblPr>
        <w:tblStyle w:val="TableGrid"/>
        <w:tblW w:type="dxa" w:w="9500"/>
        <w:jc w:val="left"/>
        <w:tblLayout w:type="fixed"/>
        <w:tblLook w:firstColumn="1" w:firstRow="1" w:lastColumn="0" w:lastRow="0" w:noHBand="0" w:noVBand="1" w:val="04A0"/>
        <w:tblInd w:w="120" w:type="dxa"/>
      </w:tblPr>
      <w:tblGrid>
        <w:gridCol w:w="3200"/>
        <w:gridCol w:w="6300"/>
      </w:tblGrid>
      <w:tr>
        <w:trPr>
          <w:tblHeader w:val="true"/>
          <w:cantSplit/>
        </w:trPr>
        <w:tc>
          <w:tcPr>
            <w:tcW w:type="dxa" w:w="3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PARAMÈTRE</w:t>
            </w:r>
          </w:p>
        </w:tc>
        <w:tc>
          <w:tcPr>
            <w:tcW w:type="dxa" w:w="6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POSITION ACTUELLE</w:t>
            </w:r>
          </w:p>
        </w:tc>
      </w:tr>
      <w:tr>
        <w:trPr>
          <w:cantSplit/>
        </w:trPr>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Supply maximale</w:t>
            </w:r>
          </w:p>
        </w:tc>
        <w:tc>
          <w:tcPr>
            <w:tcW w:type="dxa" w:w="6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1 000 000 000 VERIDIA, plafond fixe</w:t>
            </w:r>
          </w:p>
        </w:tc>
      </w:tr>
      <w:tr>
        <w:trPr>
          <w:cantSplit/>
        </w:trPr>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Mint / inflation</w:t>
            </w:r>
          </w:p>
        </w:tc>
        <w:tc>
          <w:tcPr>
            <w:tcW w:type="dxa" w:w="6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Exclus</w:t>
            </w:r>
          </w:p>
        </w:tc>
      </w:tr>
      <w:tr>
        <w:trPr>
          <w:cantSplit/>
        </w:trPr>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Taxe de transfert</w:t>
            </w:r>
          </w:p>
        </w:tc>
        <w:tc>
          <w:tcPr>
            <w:tcW w:type="dxa" w:w="6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Exclue</w:t>
            </w:r>
          </w:p>
        </w:tc>
      </w:tr>
      <w:tr>
        <w:trPr>
          <w:cantSplit/>
        </w:trPr>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APY automatique</w:t>
            </w:r>
          </w:p>
        </w:tc>
        <w:tc>
          <w:tcPr>
            <w:tcW w:type="dxa" w:w="6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Exclu</w:t>
            </w:r>
          </w:p>
        </w:tc>
      </w:tr>
      <w:tr>
        <w:trPr>
          <w:cantSplit/>
        </w:trPr>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Partage de revenus aux détenteurs</w:t>
            </w:r>
          </w:p>
        </w:tc>
        <w:tc>
          <w:tcPr>
            <w:tcW w:type="dxa" w:w="6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Exclu</w:t>
            </w:r>
          </w:p>
        </w:tc>
      </w:tr>
      <w:tr>
        <w:trPr>
          <w:cantSplit/>
        </w:trPr>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Paiement ALPHA / BCS</w:t>
            </w:r>
          </w:p>
        </w:tc>
        <w:tc>
          <w:tcPr>
            <w:tcW w:type="dxa" w:w="6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Token non obligatoire</w:t>
            </w:r>
          </w:p>
        </w:tc>
      </w:tr>
      <w:tr>
        <w:trPr>
          <w:cantSplit/>
        </w:trPr>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Rôle admis aujourd’hui</w:t>
            </w:r>
          </w:p>
        </w:tc>
        <w:tc>
          <w:tcPr>
            <w:tcW w:type="dxa" w:w="6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Gouvernance bornée ; rôle de bond/collatéral encore non démontré</w:t>
            </w:r>
          </w:p>
        </w:tc>
      </w:tr>
      <w:tr>
        <w:trPr>
          <w:cantSplit/>
        </w:trPr>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Activation</w:t>
            </w:r>
          </w:p>
        </w:tc>
        <w:tc>
          <w:tcPr>
            <w:tcW w:type="dxa" w:w="6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Décision distincte après preuve produit, sécurité, nécessité et conformité</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TEST DE NÉCESSITÉ</w:t>
        <w:br/>
      </w:r>
      <w:r>
        <w:rPr>
          <w:rFonts w:ascii="Arial" w:hAnsi="Arial" w:eastAsia="Arial"/>
          <w:b w:val="0"/>
          <w:color w:val="162019"/>
          <w:sz w:val="20"/>
        </w:rPr>
        <w:t>Retirer VERIDIA de l’architecture. Si le produit conserve sa proposition de valeur avec un stablecoin, ETH, une assurance, un contrat ou une gouvernance non tokenisée, l’actif ne doit pas être rendu obligatoire.</w:t>
      </w:r>
    </w:p>
    <w:p>
      <w:pPr>
        <w:pStyle w:val="Heading2"/>
      </w:pPr>
      <w:r>
        <w:t>Unit economics à mesurer</w:t>
      </w:r>
    </w:p>
    <w:p>
      <w:pPr>
        <w:numPr>
          <w:ilvl w:val="0"/>
          <w:numId w:val="10"/>
        </w:numPr>
        <w:spacing w:after="80" w:line="283" w:lineRule="auto"/>
      </w:pPr>
      <w:r>
        <w:rPr>
          <w:rFonts w:ascii="Arial" w:hAnsi="Arial" w:eastAsia="Arial"/>
          <w:color w:val="162019"/>
          <w:sz w:val="20"/>
        </w:rPr>
        <w:t>Revenu moyen et marge brute par template.</w:t>
      </w:r>
    </w:p>
    <w:p>
      <w:pPr>
        <w:numPr>
          <w:ilvl w:val="0"/>
          <w:numId w:val="10"/>
        </w:numPr>
        <w:spacing w:after="80" w:line="283" w:lineRule="auto"/>
      </w:pPr>
      <w:r>
        <w:rPr>
          <w:rFonts w:ascii="Arial" w:hAnsi="Arial" w:eastAsia="Arial"/>
          <w:color w:val="162019"/>
          <w:sz w:val="20"/>
        </w:rPr>
        <w:t>Coût direct de monitoring, RPC, stockage, preuve, chaîne, support et incident.</w:t>
      </w:r>
    </w:p>
    <w:p>
      <w:pPr>
        <w:numPr>
          <w:ilvl w:val="0"/>
          <w:numId w:val="10"/>
        </w:numPr>
        <w:spacing w:after="80" w:line="283" w:lineRule="auto"/>
      </w:pPr>
      <w:r>
        <w:rPr>
          <w:rFonts w:ascii="Arial" w:hAnsi="Arial" w:eastAsia="Arial"/>
          <w:color w:val="162019"/>
          <w:sz w:val="20"/>
        </w:rPr>
        <w:t>Temps d’intégration jusqu’au premier engagement valide.</w:t>
      </w:r>
    </w:p>
    <w:p>
      <w:pPr>
        <w:numPr>
          <w:ilvl w:val="0"/>
          <w:numId w:val="10"/>
        </w:numPr>
        <w:spacing w:after="80" w:line="283" w:lineRule="auto"/>
      </w:pPr>
      <w:r>
        <w:rPr>
          <w:rFonts w:ascii="Arial" w:hAnsi="Arial" w:eastAsia="Arial"/>
          <w:color w:val="162019"/>
          <w:sz w:val="20"/>
        </w:rPr>
        <w:t>Coût comparé à la meilleure alternative Web2 ou Web3.</w:t>
      </w:r>
    </w:p>
    <w:p>
      <w:pPr>
        <w:numPr>
          <w:ilvl w:val="0"/>
          <w:numId w:val="10"/>
        </w:numPr>
        <w:spacing w:after="80" w:line="283" w:lineRule="auto"/>
      </w:pPr>
      <w:r>
        <w:rPr>
          <w:rFonts w:ascii="Arial" w:hAnsi="Arial" w:eastAsia="Arial"/>
          <w:color w:val="162019"/>
          <w:sz w:val="20"/>
        </w:rPr>
        <w:t>Taux d’incident, d’indétermination, de contestation et de renouvellement.</w:t>
      </w:r>
    </w:p>
    <w:p>
      <w:pPr>
        <w:keepNext/>
        <w:spacing w:before="440" w:after="100"/>
      </w:pPr>
      <w:r>
        <w:rPr>
          <w:rFonts w:ascii="Arial" w:hAnsi="Arial" w:eastAsia="Arial"/>
          <w:b/>
          <w:color w:val="C6A15B"/>
          <w:sz w:val="16"/>
        </w:rPr>
        <w:t>CHAPITRE 07</w:t>
      </w:r>
    </w:p>
    <w:p>
      <w:pPr>
        <w:pStyle w:val="Heading1"/>
        <w:pageBreakBefore w:val="0"/>
      </w:pPr>
      <w:r>
        <w:t>Sécurité, validation et état de maturité</w:t>
      </w:r>
    </w:p>
    <w:p>
      <w:pPr>
        <w:keepNext/>
        <w:spacing w:after="320"/>
      </w:pPr>
      <w:r>
        <w:rPr>
          <w:rFonts w:ascii="Arial" w:hAnsi="Arial" w:eastAsia="Arial"/>
          <w:i/>
          <w:color w:val="66736B"/>
          <w:sz w:val="25"/>
        </w:rPr>
        <w:t>Un PASS interne est une étape de contrôle, pas une certification externe.</w:t>
      </w:r>
    </w:p>
    <w:p>
      <w:pPr>
        <w:pStyle w:val="Heading2"/>
      </w:pPr>
      <w:r>
        <w:t>Résultats internes documentés</w:t>
      </w:r>
    </w:p>
    <w:p>
      <w:pPr>
        <w:spacing w:after="140" w:line="307" w:lineRule="auto"/>
      </w:pPr>
      <w:r>
        <w:rPr>
          <w:rFonts w:ascii="Arial" w:hAnsi="Arial" w:eastAsia="Arial"/>
          <w:i w:val="0"/>
          <w:color w:val="162019"/>
          <w:sz w:val="20"/>
        </w:rPr>
        <w:t>Le rapport Phase 3B du 30 août 2026 déclare le durcissement adversarial ALPHA PASS dans son périmètre local. Il indique qu’aucun finding ALPHA Critical ou High non résolu ne reste dans cette portée, tout en documentant des limites de dépendances de développement et l’absence de flux financiers ou de déploiement production.</w:t>
      </w:r>
    </w:p>
    <w:tbl>
      <w:tblPr>
        <w:tblStyle w:val="TableGrid"/>
        <w:tblW w:type="dxa" w:w="9500"/>
        <w:jc w:val="left"/>
        <w:tblLayout w:type="fixed"/>
        <w:tblLook w:firstColumn="1" w:firstRow="1" w:lastColumn="0" w:lastRow="0" w:noHBand="0" w:noVBand="1" w:val="04A0"/>
        <w:tblInd w:w="120" w:type="dxa"/>
      </w:tblPr>
      <w:tblGrid>
        <w:gridCol w:w="1800"/>
        <w:gridCol w:w="4800"/>
        <w:gridCol w:w="2900"/>
      </w:tblGrid>
      <w:tr>
        <w:trPr>
          <w:tblHeader w:val="true"/>
          <w:cantSplit/>
        </w:trPr>
        <w:tc>
          <w:tcPr>
            <w:tcW w:type="dxa" w:w="1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4800"/>
            <w:shd w:fill="06110B"/>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TRAVAUX INTERNES SIGNALÉS</w:t>
            </w:r>
          </w:p>
        </w:tc>
        <w:tc>
          <w:tcPr>
            <w:tcW w:type="dxa" w:w="2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LIMITE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Classification</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Correction des faux provider faults et fail-closed vers UNDETERMINED</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La politique réelle et les exceptions doivent être revues externement</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Sources</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Rejet des assertions publiques et collecteurs enregistrés</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Indépendance, rotation et compromission à démontrer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Engagement</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Commitment complet et vérifications d’intégrité</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Compatibilité production et upgrades à auditer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Adversarial</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Tests de replay, collision, timestamp, idempotence et ordering</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Couverture locale, pas une preuve d’exhaustivité</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Fuzz / propriétés</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Cas de remède symbolique et séquences de cycle de vie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 de conséquences financières actives</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Toolchain</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Revue de dépendances et risque dev-only accepté</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Monitoring et mises à jour obligatoires</w:t>
            </w:r>
          </w:p>
        </w:tc>
      </w:tr>
    </w:tbl>
    <w:p>
      <w:pPr>
        <w:spacing w:after="40"/>
      </w:pPr>
    </w:p>
    <w:p>
      <w:pPr>
        <w:pStyle w:val="Heading2"/>
      </w:pPr>
      <w:r>
        <w:t>Statuts récents déclarés</w:t>
      </w:r>
    </w:p>
    <w:p>
      <w:pPr>
        <w:spacing w:after="140" w:line="307" w:lineRule="auto"/>
      </w:pPr>
      <w:r>
        <w:rPr>
          <w:rFonts w:ascii="Arial" w:hAnsi="Arial" w:eastAsia="Arial"/>
          <w:i w:val="0"/>
          <w:color w:val="162019"/>
          <w:sz w:val="20"/>
        </w:rPr>
        <w:t>Le porteur du projet indique qu’après la Phase 3B, le programme a atteint la Phase 3.E Human Pilot puis obtenu un statut PASS au jalon Release Candidate. Ces informations sont retenues pour le pilotage interne, mais doivent être étayées par les rapports signés, le commit exact, les résultats reproductibles, les artefacts, les écarts acceptés et le registre de configuration avant toute affirmation externe.</w:t>
      </w:r>
    </w:p>
    <w:p>
      <w:pPr>
        <w:pStyle w:val="Heading2"/>
      </w:pPr>
      <w:r>
        <w:t>Gate audit externe</w:t>
      </w:r>
    </w:p>
    <w:p>
      <w:pPr>
        <w:numPr>
          <w:ilvl w:val="0"/>
          <w:numId w:val="13"/>
        </w:numPr>
        <w:spacing w:after="80" w:line="283" w:lineRule="auto"/>
      </w:pPr>
      <w:r>
        <w:rPr>
          <w:rFonts w:ascii="Arial" w:hAnsi="Arial" w:eastAsia="Arial"/>
          <w:color w:val="162019"/>
          <w:sz w:val="20"/>
        </w:rPr>
        <w:t>Figer le commit, les versions de compilateur, les paramètres et le graphe de dépendances.</w:t>
      </w:r>
    </w:p>
    <w:p>
      <w:pPr>
        <w:numPr>
          <w:ilvl w:val="0"/>
          <w:numId w:val="13"/>
        </w:numPr>
        <w:spacing w:after="80" w:line="283" w:lineRule="auto"/>
      </w:pPr>
      <w:r>
        <w:rPr>
          <w:rFonts w:ascii="Arial" w:hAnsi="Arial" w:eastAsia="Arial"/>
          <w:color w:val="162019"/>
          <w:sz w:val="20"/>
        </w:rPr>
        <w:t>Produire le dossier de preuve : architecture, threat model, invariants, tests, couverture, findings et dispositions.</w:t>
      </w:r>
    </w:p>
    <w:p>
      <w:pPr>
        <w:numPr>
          <w:ilvl w:val="0"/>
          <w:numId w:val="13"/>
        </w:numPr>
        <w:spacing w:after="80" w:line="283" w:lineRule="auto"/>
      </w:pPr>
      <w:r>
        <w:rPr>
          <w:rFonts w:ascii="Arial" w:hAnsi="Arial" w:eastAsia="Arial"/>
          <w:color w:val="162019"/>
          <w:sz w:val="20"/>
        </w:rPr>
        <w:t>Lister les contrats et composants inclus et exclus du périmètre.</w:t>
      </w:r>
    </w:p>
    <w:p>
      <w:pPr>
        <w:numPr>
          <w:ilvl w:val="0"/>
          <w:numId w:val="13"/>
        </w:numPr>
        <w:spacing w:after="80" w:line="283" w:lineRule="auto"/>
      </w:pPr>
      <w:r>
        <w:rPr>
          <w:rFonts w:ascii="Arial" w:hAnsi="Arial" w:eastAsia="Arial"/>
          <w:color w:val="162019"/>
          <w:sz w:val="20"/>
        </w:rPr>
        <w:t>Documenter les clés, rôles, timelocks, multisigs, procédures d’urgence et rollback.</w:t>
      </w:r>
    </w:p>
    <w:p>
      <w:pPr>
        <w:numPr>
          <w:ilvl w:val="0"/>
          <w:numId w:val="13"/>
        </w:numPr>
        <w:spacing w:after="80" w:line="283" w:lineRule="auto"/>
      </w:pPr>
      <w:r>
        <w:rPr>
          <w:rFonts w:ascii="Arial" w:hAnsi="Arial" w:eastAsia="Arial"/>
          <w:color w:val="162019"/>
          <w:sz w:val="20"/>
        </w:rPr>
        <w:t>Reproduire le build, comparer ABI et bytecode et annexer les hashes.</w:t>
      </w:r>
    </w:p>
    <w:p>
      <w:pPr>
        <w:numPr>
          <w:ilvl w:val="0"/>
          <w:numId w:val="13"/>
        </w:numPr>
        <w:spacing w:after="80" w:line="283" w:lineRule="auto"/>
      </w:pPr>
      <w:r>
        <w:rPr>
          <w:rFonts w:ascii="Arial" w:hAnsi="Arial" w:eastAsia="Arial"/>
          <w:color w:val="162019"/>
          <w:sz w:val="20"/>
        </w:rPr>
        <w:t>Publier uniquement la portée exacte, les réserves et les corrections du rapport indépendant.</w:t>
      </w:r>
    </w:p>
    <w:p>
      <w:pPr>
        <w:pStyle w:val="Heading2"/>
      </w:pPr>
      <w:r>
        <w:t>Bloquants production</w:t>
      </w:r>
    </w:p>
    <w:tbl>
      <w:tblPr>
        <w:tblStyle w:val="TableGrid"/>
        <w:tblW w:type="dxa" w:w="9500"/>
        <w:jc w:val="left"/>
        <w:tblLayout w:type="fixed"/>
        <w:tblLook w:firstColumn="1" w:firstRow="1" w:lastColumn="0" w:lastRow="0" w:noHBand="0" w:noVBand="1" w:val="04A0"/>
        <w:tblInd w:w="120" w:type="dxa"/>
      </w:tblPr>
      <w:tblGrid>
        <w:gridCol w:w="3300"/>
        <w:gridCol w:w="6200"/>
      </w:tblGrid>
      <w:tr>
        <w:trPr>
          <w:tblHeader w:val="true"/>
          <w:cantSplit/>
        </w:trPr>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BLOQUANT</w:t>
            </w:r>
          </w:p>
        </w:tc>
        <w:tc>
          <w:tcPr>
            <w:tcW w:type="dxa" w:w="6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ATTENDUE</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Audit indépendant absent</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Rapport final, version, portée, findings, corrections et exceptions</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Registre testnet incomplet</w:t>
            </w:r>
          </w:p>
        </w:tc>
        <w:tc>
          <w:tcPr>
            <w:tcW w:type="dxa" w:w="6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Adresses, transactions, blocs, bytecodes, rôles et liens explorateur</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Opérations non industrialisées</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Monitoring, alertes, sauvegardes, reprise, incident et rotation de clés</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Preuve client absente</w:t>
            </w:r>
          </w:p>
        </w:tc>
        <w:tc>
          <w:tcPr>
            <w:tcW w:type="dxa" w:w="6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Workflow observé, budget, pilote, métriques et volonté de renouvellement</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Cadre juridique incomplet</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Qualification écrite, entité, contrats, données et restrictions</w:t>
            </w:r>
          </w:p>
        </w:tc>
      </w:tr>
    </w:tbl>
    <w:p>
      <w:pPr>
        <w:spacing w:after="40"/>
      </w:pPr>
    </w:p>
    <w:p>
      <w:pPr>
        <w:keepNext/>
        <w:spacing w:before="440" w:after="100"/>
      </w:pPr>
      <w:r>
        <w:rPr>
          <w:rFonts w:ascii="Arial" w:hAnsi="Arial" w:eastAsia="Arial"/>
          <w:b/>
          <w:color w:val="C6A15B"/>
          <w:sz w:val="16"/>
        </w:rPr>
        <w:t>CHAPITRE 08</w:t>
      </w:r>
    </w:p>
    <w:p>
      <w:pPr>
        <w:pStyle w:val="Heading1"/>
        <w:pageBreakBefore w:val="0"/>
      </w:pPr>
      <w:r>
        <w:t>Validation marché et stratégie commerciale</w:t>
      </w:r>
    </w:p>
    <w:p>
      <w:pPr>
        <w:keepNext/>
        <w:spacing w:after="320"/>
      </w:pPr>
      <w:r>
        <w:rPr>
          <w:rFonts w:ascii="Arial" w:hAnsi="Arial" w:eastAsia="Arial"/>
          <w:i/>
          <w:color w:val="66736B"/>
          <w:sz w:val="25"/>
        </w:rPr>
        <w:t>Le risque principal n’est plus le manque de fonctionnalités : c’est la preuve d’un problème payé.</w:t>
      </w:r>
    </w:p>
    <w:p>
      <w:pPr>
        <w:pStyle w:val="Heading2"/>
      </w:pPr>
      <w:r>
        <w:t>Hypothèse de client initial</w:t>
      </w:r>
    </w:p>
    <w:p>
      <w:pPr>
        <w:spacing w:after="140" w:line="307" w:lineRule="auto"/>
      </w:pPr>
      <w:r>
        <w:rPr>
          <w:rFonts w:ascii="Arial" w:hAnsi="Arial" w:eastAsia="Arial"/>
          <w:i w:val="0"/>
          <w:color w:val="162019"/>
          <w:sz w:val="20"/>
        </w:rPr>
        <w:t>Le profil le plus testable est un petit protocole EVM, une DAO ou un opérateur de smart accounts possédant une action on-chain prédéfinie, une échéance, une perte réelle en cas d’oubli et un décideur opérationnel accessible. Ce profil reste une hypothèse et non un segment validé.</w:t>
      </w:r>
    </w:p>
    <w:tbl>
      <w:tblPr>
        <w:tblStyle w:val="TableGrid"/>
        <w:tblW w:type="dxa" w:w="9500"/>
        <w:jc w:val="left"/>
        <w:tblLayout w:type="fixed"/>
        <w:tblLook w:firstColumn="1" w:firstRow="1" w:lastColumn="0" w:lastRow="0" w:noHBand="0" w:noVBand="1" w:val="04A0"/>
        <w:tblInd w:w="120" w:type="dxa"/>
      </w:tblPr>
      <w:tblGrid>
        <w:gridCol w:w="1600"/>
        <w:gridCol w:w="4100"/>
        <w:gridCol w:w="3800"/>
      </w:tblGrid>
      <w:tr>
        <w:trPr>
          <w:tblHeader w:val="true"/>
          <w:cantSplit/>
        </w:trPr>
        <w:tc>
          <w:tcPr>
            <w:tcW w:type="dxa" w:w="16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4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 POSITIF</w:t>
            </w:r>
          </w:p>
        </w:tc>
        <w:tc>
          <w:tcPr>
            <w:tcW w:type="dxa" w:w="3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 NÉGATIF</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Action</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Calldata et événement connus</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Décision subjective ou discrétionnaire</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Deadline</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Immuable ou contractuellement bornée</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Fenêtre flexible sans coût</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Perte</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Montant ou impact identifiable</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Impact théorique</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Alternative</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Workflow manuel, fragile ou non garanti</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Outil existant suffisant et moins cher</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Budget</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Décideur prêt à discuter prix et pilote</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Intérêt gratuit sans sponsor</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Intégration</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Contrat standard et permissions maîtrisées</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Oracles et dépendances croisées complexes</w:t>
            </w:r>
          </w:p>
        </w:tc>
      </w:tr>
    </w:tbl>
    <w:p>
      <w:pPr>
        <w:spacing w:after="40"/>
      </w:pPr>
    </w:p>
    <w:p>
      <w:pPr>
        <w:pStyle w:val="Heading2"/>
      </w:pPr>
      <w:r>
        <w:t>Programme de discovery</w:t>
      </w:r>
    </w:p>
    <w:p>
      <w:pPr>
        <w:numPr>
          <w:ilvl w:val="0"/>
          <w:numId w:val="14"/>
        </w:numPr>
        <w:spacing w:after="80" w:line="283" w:lineRule="auto"/>
      </w:pPr>
      <w:r>
        <w:rPr>
          <w:rFonts w:ascii="Arial" w:hAnsi="Arial" w:eastAsia="Arial"/>
          <w:color w:val="162019"/>
          <w:sz w:val="20"/>
        </w:rPr>
        <w:t>Réaliser 15 à 20 entretiens de problème avec opérateurs et décideurs, sans vendre la technologie pendant la première partie.</w:t>
      </w:r>
    </w:p>
    <w:p>
      <w:pPr>
        <w:numPr>
          <w:ilvl w:val="0"/>
          <w:numId w:val="14"/>
        </w:numPr>
        <w:spacing w:after="80" w:line="283" w:lineRule="auto"/>
      </w:pPr>
      <w:r>
        <w:rPr>
          <w:rFonts w:ascii="Arial" w:hAnsi="Arial" w:eastAsia="Arial"/>
          <w:color w:val="162019"/>
          <w:sz w:val="20"/>
        </w:rPr>
        <w:t>Observer au moins cinq workflows réels, y compris incidents, exceptions, coûts et outils de contournement.</w:t>
      </w:r>
    </w:p>
    <w:p>
      <w:pPr>
        <w:numPr>
          <w:ilvl w:val="0"/>
          <w:numId w:val="14"/>
        </w:numPr>
        <w:spacing w:after="80" w:line="283" w:lineRule="auto"/>
      </w:pPr>
      <w:r>
        <w:rPr>
          <w:rFonts w:ascii="Arial" w:hAnsi="Arial" w:eastAsia="Arial"/>
          <w:color w:val="162019"/>
          <w:sz w:val="20"/>
        </w:rPr>
        <w:t>Sélectionner un seul template objectivement vérifiable.</w:t>
      </w:r>
    </w:p>
    <w:p>
      <w:pPr>
        <w:numPr>
          <w:ilvl w:val="0"/>
          <w:numId w:val="14"/>
        </w:numPr>
        <w:spacing w:after="80" w:line="283" w:lineRule="auto"/>
      </w:pPr>
      <w:r>
        <w:rPr>
          <w:rFonts w:ascii="Arial" w:hAnsi="Arial" w:eastAsia="Arial"/>
          <w:color w:val="162019"/>
          <w:sz w:val="20"/>
        </w:rPr>
        <w:t>Prototyper manuellement le service sans token ni nouveau smart contract lorsque possible.</w:t>
      </w:r>
    </w:p>
    <w:p>
      <w:pPr>
        <w:numPr>
          <w:ilvl w:val="0"/>
          <w:numId w:val="14"/>
        </w:numPr>
        <w:spacing w:after="80" w:line="283" w:lineRule="auto"/>
      </w:pPr>
      <w:r>
        <w:rPr>
          <w:rFonts w:ascii="Arial" w:hAnsi="Arial" w:eastAsia="Arial"/>
          <w:color w:val="162019"/>
          <w:sz w:val="20"/>
        </w:rPr>
        <w:t>Comparer explicitement Pacturion aux bots, cron, relayers, monitoring, automation, multisigs et garanties contractuelles.</w:t>
      </w:r>
    </w:p>
    <w:p>
      <w:pPr>
        <w:numPr>
          <w:ilvl w:val="0"/>
          <w:numId w:val="14"/>
        </w:numPr>
        <w:spacing w:after="80" w:line="283" w:lineRule="auto"/>
      </w:pPr>
      <w:r>
        <w:rPr>
          <w:rFonts w:ascii="Arial" w:hAnsi="Arial" w:eastAsia="Arial"/>
          <w:color w:val="162019"/>
          <w:sz w:val="20"/>
        </w:rPr>
        <w:t>Obtenir deux à trois lettres d’intention ou pilotes bornés avec critères, responsabilités et prix discuté.</w:t>
      </w:r>
    </w:p>
    <w:p>
      <w:pPr>
        <w:pStyle w:val="Heading2"/>
      </w:pPr>
      <w:r>
        <w:t>Funnel de preuve commerciale</w:t>
      </w:r>
    </w:p>
    <w:tbl>
      <w:tblPr>
        <w:tblStyle w:val="TableGrid"/>
        <w:tblW w:type="dxa" w:w="9500"/>
        <w:jc w:val="left"/>
        <w:tblLayout w:type="fixed"/>
        <w:tblLook w:firstColumn="1" w:firstRow="1" w:lastColumn="0" w:lastRow="0" w:noHBand="0" w:noVBand="1" w:val="04A0"/>
        <w:tblInd w:w="120" w:type="dxa"/>
      </w:tblPr>
      <w:tblGrid>
        <w:gridCol w:w="1600"/>
        <w:gridCol w:w="4900"/>
        <w:gridCol w:w="3000"/>
      </w:tblGrid>
      <w:tr>
        <w:trPr>
          <w:tblHeader w:val="true"/>
          <w:cantSplit/>
        </w:trPr>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4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Intérêt</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Problème décrit spontanément et fréquence documentée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Poursuivre l’observation</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Douleur</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Perte, coût, risque ou temps mesuré</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Tester la valeur d’une solution</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Switching</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Alternative actuelle insuffisante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Proposer un prototype manuel</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Volonté de payer</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Budget, prix ou sponsor identifié</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Cadrer un pilote</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Pilote</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Résultats et limites mesurés</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Décider automatisation ou arrêt</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Renouvellement</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Client paie de nouveau</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Passer en bêta contrôlée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RIGUEUR COMMERCIALE</w:t>
        <w:br/>
      </w:r>
      <w:r>
        <w:rPr>
          <w:rFonts w:ascii="Arial" w:hAnsi="Arial" w:eastAsia="Arial"/>
          <w:b w:val="0"/>
          <w:color w:val="162019"/>
          <w:sz w:val="20"/>
        </w:rPr>
        <w:t>Un entretien positif ne valide pas un marché. La preuve minimale est un décideur exposé au problème, une alternative insuffisante, un pilote mesurable et une volonté de payer ou renouveler.</w:t>
      </w:r>
    </w:p>
    <w:p>
      <w:pPr>
        <w:keepNext/>
        <w:spacing w:before="440" w:after="100"/>
      </w:pPr>
      <w:r>
        <w:rPr>
          <w:rFonts w:ascii="Arial" w:hAnsi="Arial" w:eastAsia="Arial"/>
          <w:b/>
          <w:color w:val="C6A15B"/>
          <w:sz w:val="16"/>
        </w:rPr>
        <w:t>CHAPITRE 09</w:t>
      </w:r>
    </w:p>
    <w:p>
      <w:pPr>
        <w:pStyle w:val="Heading1"/>
        <w:pageBreakBefore w:val="0"/>
      </w:pPr>
      <w:r>
        <w:t>Roadmap pilotée par des gates</w:t>
      </w:r>
    </w:p>
    <w:p>
      <w:pPr>
        <w:keepNext/>
        <w:spacing w:after="320"/>
      </w:pPr>
      <w:r>
        <w:rPr>
          <w:rFonts w:ascii="Arial" w:hAnsi="Arial" w:eastAsia="Arial"/>
          <w:i/>
          <w:color w:val="66736B"/>
          <w:sz w:val="25"/>
        </w:rPr>
        <w:t>De la preuve technique à la preuve de marché, sans dates marketing irréversibles.</w:t>
      </w:r>
    </w:p>
    <w:tbl>
      <w:tblPr>
        <w:tblStyle w:val="TableGrid"/>
        <w:tblW w:type="dxa" w:w="9500"/>
        <w:jc w:val="left"/>
        <w:tblLayout w:type="fixed"/>
        <w:tblLook w:firstColumn="1" w:firstRow="1" w:lastColumn="0" w:lastRow="0" w:noHBand="0" w:noVBand="1" w:val="04A0"/>
        <w:tblInd w:w="120" w:type="dxa"/>
      </w:tblPr>
      <w:tblGrid>
        <w:gridCol w:w="1900"/>
        <w:gridCol w:w="3600"/>
        <w:gridCol w:w="4000"/>
      </w:tblGrid>
      <w:tr>
        <w:trPr>
          <w:tblHeader w:val="true"/>
          <w:cantSplit/>
        </w:trPr>
        <w:tc>
          <w:tcPr>
            <w:tcW w:type="dxa" w:w="19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c>
          <w:tcPr>
            <w:tcW w:type="dxa" w:w="36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OBJECTIF</w:t>
            </w:r>
          </w:p>
        </w:tc>
        <w:tc>
          <w:tcPr>
            <w:tcW w:type="dxa" w:w="4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 DE SORTIE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R0 — Réconciliation</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Figer l’état testnet et documentaire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Registre d’adresses, versions, rôles et preuves cohérentes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R1 — Problème</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Démontrer une douleur et un acheteur</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Entretiens, workflows, perte et budget documentés</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R2 — Socle ops</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Rendre le système durable et reproductible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Persistance, signatures, reorg, monitoring et reprise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R3 — Pilote testnet</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Tester un engagement borné avec parties identifiées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Protocole pilote, métriques, incident et clôture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R4 — Audit &amp; juridique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Réduire le risque indépendant</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corrections, avis juridique et règles de communication</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R5 — Bêta tokenless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Prouver usage et paiement en production limitée</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Clients payants, caps, SLA, support et renouvellement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R6 — Décision VERIDIA</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Tester la nécessité de l’actif</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Score ≥ 6/10, sécurité économique et conformité</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R7 — Scale</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Industrialiser seulement ce qui est validé</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Métriques stables, coûts maîtrisés et gouvernance adaptée</w:t>
            </w:r>
          </w:p>
        </w:tc>
      </w:tr>
    </w:tbl>
    <w:p>
      <w:pPr>
        <w:spacing w:after="40"/>
      </w:pPr>
    </w:p>
    <w:p>
      <w:pPr>
        <w:pStyle w:val="Heading2"/>
      </w:pPr>
      <w:r>
        <w:t>Mise à jour de statut</w:t>
      </w:r>
    </w:p>
    <w:p>
      <w:pPr>
        <w:spacing w:after="140" w:line="307" w:lineRule="auto"/>
      </w:pPr>
      <w:r>
        <w:rPr>
          <w:rFonts w:ascii="Arial" w:hAnsi="Arial" w:eastAsia="Arial"/>
          <w:i w:val="0"/>
          <w:color w:val="162019"/>
          <w:sz w:val="20"/>
        </w:rPr>
        <w:t>Le jalon Release Candidate est déclaré PASS et l’audit externe devient la prochaine gate annoncée. Cette progression technique ne doit pas supprimer R1 : la preuve client et la preuve indépendante restent deux axes parallèles. Avancer sur l’audit sans discovery commerciale peut produire un système robuste sans acheteur ; faire du commercial sans audit peut créer un engagement impossible à assumer.</w:t>
      </w:r>
    </w:p>
    <w:p>
      <w:pPr>
        <w:pStyle w:val="Heading2"/>
      </w:pPr>
      <w:r>
        <w:t>Plan immédiat</w:t>
      </w:r>
    </w:p>
    <w:tbl>
      <w:tblPr>
        <w:tblStyle w:val="TableGrid"/>
        <w:tblW w:type="dxa" w:w="9500"/>
        <w:jc w:val="left"/>
        <w:tblLayout w:type="fixed"/>
        <w:tblLook w:firstColumn="1" w:firstRow="1" w:lastColumn="0" w:lastRow="0" w:noHBand="0" w:noVBand="1" w:val="04A0"/>
        <w:tblInd w:w="120" w:type="dxa"/>
      </w:tblPr>
      <w:tblGrid>
        <w:gridCol w:w="1500"/>
        <w:gridCol w:w="2850"/>
        <w:gridCol w:w="2850"/>
        <w:gridCol w:w="23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HORIZON</w:t>
            </w:r>
          </w:p>
        </w:tc>
        <w:tc>
          <w:tcPr>
            <w:tcW w:type="dxa" w:w="28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TECHNIQUE / SÉCURITÉ</w:t>
            </w:r>
          </w:p>
        </w:tc>
        <w:tc>
          <w:tcPr>
            <w:tcW w:type="dxa" w:w="28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PRODUIT / MARCHÉ</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DOCUMENTATION</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0–30 jours</w:t>
            </w:r>
          </w:p>
        </w:tc>
        <w:tc>
          <w:tcPr>
            <w:tcW w:type="dxa" w:w="2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Figer RC, evidence pack, scope audit</w:t>
            </w:r>
          </w:p>
        </w:tc>
        <w:tc>
          <w:tcPr>
            <w:tcW w:type="dxa" w:w="2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Cibler 30 contacts et lancer les entretiens</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Réconcilier statuts, preuves et registres</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31–60 jours</w:t>
            </w:r>
          </w:p>
        </w:tc>
        <w:tc>
          <w:tcPr>
            <w:tcW w:type="dxa" w:w="2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Pré-audit, corrections, build reproductible</w:t>
            </w:r>
          </w:p>
        </w:tc>
        <w:tc>
          <w:tcPr>
            <w:tcW w:type="dxa" w:w="2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Observer cinq workflows et choisir un template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Spécification ALPHA et protocole pilote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61–90 jours</w:t>
            </w:r>
          </w:p>
        </w:tc>
        <w:tc>
          <w:tcPr>
            <w:tcW w:type="dxa" w:w="2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ou revue indépendante, runbooks</w:t>
            </w:r>
          </w:p>
        </w:tc>
        <w:tc>
          <w:tcPr>
            <w:tcW w:type="dxa" w:w="2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Deux pilotes bornés ou décision d’arrêt</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Data room, rapport de décision et roadmap révisée</w:t>
            </w:r>
          </w:p>
        </w:tc>
      </w:tr>
    </w:tbl>
    <w:p>
      <w:pPr>
        <w:spacing w:after="40"/>
      </w:pPr>
    </w:p>
    <w:p>
      <w:pPr>
        <w:keepNext/>
        <w:spacing w:before="440" w:after="100"/>
      </w:pPr>
      <w:r>
        <w:rPr>
          <w:rFonts w:ascii="Arial" w:hAnsi="Arial" w:eastAsia="Arial"/>
          <w:b/>
          <w:color w:val="C6A15B"/>
          <w:sz w:val="16"/>
        </w:rPr>
        <w:t>CHAPITRE 10</w:t>
      </w:r>
    </w:p>
    <w:p>
      <w:pPr>
        <w:pStyle w:val="Heading1"/>
        <w:pageBreakBefore w:val="0"/>
      </w:pPr>
      <w:r>
        <w:t>Gouvernance, opérations et maîtrise des changements</w:t>
      </w:r>
    </w:p>
    <w:p>
      <w:pPr>
        <w:keepNext/>
        <w:spacing w:after="320"/>
      </w:pPr>
      <w:r>
        <w:rPr>
          <w:rFonts w:ascii="Arial" w:hAnsi="Arial" w:eastAsia="Arial"/>
          <w:i/>
          <w:color w:val="66736B"/>
          <w:sz w:val="25"/>
        </w:rPr>
        <w:t>La gouvernance administre des paramètres bornés ; elle ne crée pas la preuve.</w:t>
      </w:r>
    </w:p>
    <w:p>
      <w:pPr>
        <w:pStyle w:val="Heading2"/>
      </w:pPr>
      <w:r>
        <w:t>Pouvoirs admissibles</w:t>
      </w:r>
    </w:p>
    <w:p>
      <w:pPr>
        <w:numPr>
          <w:ilvl w:val="0"/>
          <w:numId w:val="10"/>
        </w:numPr>
        <w:spacing w:after="80" w:line="283" w:lineRule="auto"/>
      </w:pPr>
      <w:r>
        <w:rPr>
          <w:rFonts w:ascii="Arial" w:hAnsi="Arial" w:eastAsia="Arial"/>
          <w:color w:val="162019"/>
          <w:sz w:val="20"/>
        </w:rPr>
        <w:t>Ajouter ou retirer une politique après revue, délai et journalisation.</w:t>
      </w:r>
    </w:p>
    <w:p>
      <w:pPr>
        <w:numPr>
          <w:ilvl w:val="0"/>
          <w:numId w:val="10"/>
        </w:numPr>
        <w:spacing w:after="80" w:line="283" w:lineRule="auto"/>
      </w:pPr>
      <w:r>
        <w:rPr>
          <w:rFonts w:ascii="Arial" w:hAnsi="Arial" w:eastAsia="Arial"/>
          <w:color w:val="162019"/>
          <w:sz w:val="20"/>
        </w:rPr>
        <w:t>Modifier des caps futurs sans affecter les engagements déjà acceptés.</w:t>
      </w:r>
    </w:p>
    <w:p>
      <w:pPr>
        <w:numPr>
          <w:ilvl w:val="0"/>
          <w:numId w:val="10"/>
        </w:numPr>
        <w:spacing w:after="80" w:line="283" w:lineRule="auto"/>
      </w:pPr>
      <w:r>
        <w:rPr>
          <w:rFonts w:ascii="Arial" w:hAnsi="Arial" w:eastAsia="Arial"/>
          <w:color w:val="162019"/>
          <w:sz w:val="20"/>
        </w:rPr>
        <w:t>Gérer les budgets opérationnels sous plafonds et séparation des registres.</w:t>
      </w:r>
    </w:p>
    <w:p>
      <w:pPr>
        <w:numPr>
          <w:ilvl w:val="0"/>
          <w:numId w:val="10"/>
        </w:numPr>
        <w:spacing w:after="80" w:line="283" w:lineRule="auto"/>
      </w:pPr>
      <w:r>
        <w:rPr>
          <w:rFonts w:ascii="Arial" w:hAnsi="Arial" w:eastAsia="Arial"/>
          <w:color w:val="162019"/>
          <w:sz w:val="20"/>
        </w:rPr>
        <w:t>Suspendre une fonction nouvelle en cas d’incident selon un runbook public ou contrôlé.</w:t>
      </w:r>
    </w:p>
    <w:p>
      <w:pPr>
        <w:numPr>
          <w:ilvl w:val="0"/>
          <w:numId w:val="10"/>
        </w:numPr>
        <w:spacing w:after="80" w:line="283" w:lineRule="auto"/>
      </w:pPr>
      <w:r>
        <w:rPr>
          <w:rFonts w:ascii="Arial" w:hAnsi="Arial" w:eastAsia="Arial"/>
          <w:color w:val="162019"/>
          <w:sz w:val="20"/>
        </w:rPr>
        <w:t>Faire évoluer les collecteurs, RPC et dépendances avec rotation et observation.</w:t>
      </w:r>
    </w:p>
    <w:p>
      <w:pPr>
        <w:pStyle w:val="Heading2"/>
      </w:pPr>
      <w:r>
        <w:t>Pouvoirs interdits</w:t>
      </w:r>
    </w:p>
    <w:p>
      <w:pPr>
        <w:numPr>
          <w:ilvl w:val="0"/>
          <w:numId w:val="10"/>
        </w:numPr>
        <w:spacing w:after="80" w:line="283" w:lineRule="auto"/>
      </w:pPr>
      <w:r>
        <w:rPr>
          <w:rFonts w:ascii="Arial" w:hAnsi="Arial" w:eastAsia="Arial"/>
          <w:color w:val="162019"/>
          <w:sz w:val="20"/>
        </w:rPr>
        <w:t>Augmenter arbitrairement la supply maximale.</w:t>
      </w:r>
    </w:p>
    <w:p>
      <w:pPr>
        <w:numPr>
          <w:ilvl w:val="0"/>
          <w:numId w:val="10"/>
        </w:numPr>
        <w:spacing w:after="80" w:line="283" w:lineRule="auto"/>
      </w:pPr>
      <w:r>
        <w:rPr>
          <w:rFonts w:ascii="Arial" w:hAnsi="Arial" w:eastAsia="Arial"/>
          <w:color w:val="162019"/>
          <w:sz w:val="20"/>
        </w:rPr>
        <w:t>Saisir ou rediriger l’escrow d’un sponsor ou d’un utilisateur.</w:t>
      </w:r>
    </w:p>
    <w:p>
      <w:pPr>
        <w:numPr>
          <w:ilvl w:val="0"/>
          <w:numId w:val="10"/>
        </w:numPr>
        <w:spacing w:after="80" w:line="283" w:lineRule="auto"/>
      </w:pPr>
      <w:r>
        <w:rPr>
          <w:rFonts w:ascii="Arial" w:hAnsi="Arial" w:eastAsia="Arial"/>
          <w:color w:val="162019"/>
          <w:sz w:val="20"/>
        </w:rPr>
        <w:t>Réécrire un engagement déjà accepté, une preuve ou un résultat terminal.</w:t>
      </w:r>
    </w:p>
    <w:p>
      <w:pPr>
        <w:numPr>
          <w:ilvl w:val="0"/>
          <w:numId w:val="10"/>
        </w:numPr>
        <w:spacing w:after="80" w:line="283" w:lineRule="auto"/>
      </w:pPr>
      <w:r>
        <w:rPr>
          <w:rFonts w:ascii="Arial" w:hAnsi="Arial" w:eastAsia="Arial"/>
          <w:color w:val="162019"/>
          <w:sz w:val="20"/>
        </w:rPr>
        <w:t>Attribuer une faute sans politique et preuve suffisantes.</w:t>
      </w:r>
    </w:p>
    <w:p>
      <w:pPr>
        <w:numPr>
          <w:ilvl w:val="0"/>
          <w:numId w:val="10"/>
        </w:numPr>
        <w:spacing w:after="80" w:line="283" w:lineRule="auto"/>
      </w:pPr>
      <w:r>
        <w:rPr>
          <w:rFonts w:ascii="Arial" w:hAnsi="Arial" w:eastAsia="Arial"/>
          <w:color w:val="162019"/>
          <w:sz w:val="20"/>
        </w:rPr>
        <w:t>Promettre un rendement, un prix plancher, une liquidité ou un rachat.</w:t>
      </w:r>
    </w:p>
    <w:p>
      <w:pPr>
        <w:pStyle w:val="Heading2"/>
      </w:pPr>
      <w:r>
        <w:t>Workflow de changement</w:t>
      </w:r>
    </w:p>
    <w:p>
      <w:pPr>
        <w:numPr>
          <w:ilvl w:val="0"/>
          <w:numId w:val="15"/>
        </w:numPr>
        <w:spacing w:after="80" w:line="283" w:lineRule="auto"/>
      </w:pPr>
      <w:r>
        <w:rPr>
          <w:rFonts w:ascii="Arial" w:hAnsi="Arial" w:eastAsia="Arial"/>
          <w:color w:val="162019"/>
          <w:sz w:val="20"/>
        </w:rPr>
        <w:t>Proposition : objectif, risque, portée, dépendances et stratégie de retour arrière.</w:t>
      </w:r>
    </w:p>
    <w:p>
      <w:pPr>
        <w:numPr>
          <w:ilvl w:val="0"/>
          <w:numId w:val="15"/>
        </w:numPr>
        <w:spacing w:after="80" w:line="283" w:lineRule="auto"/>
      </w:pPr>
      <w:r>
        <w:rPr>
          <w:rFonts w:ascii="Arial" w:hAnsi="Arial" w:eastAsia="Arial"/>
          <w:color w:val="162019"/>
          <w:sz w:val="20"/>
        </w:rPr>
        <w:t>Revue : sécurité, produit, juridique, opérations et cohérence documentaire.</w:t>
      </w:r>
    </w:p>
    <w:p>
      <w:pPr>
        <w:numPr>
          <w:ilvl w:val="0"/>
          <w:numId w:val="15"/>
        </w:numPr>
        <w:spacing w:after="80" w:line="283" w:lineRule="auto"/>
      </w:pPr>
      <w:r>
        <w:rPr>
          <w:rFonts w:ascii="Arial" w:hAnsi="Arial" w:eastAsia="Arial"/>
          <w:color w:val="162019"/>
          <w:sz w:val="20"/>
        </w:rPr>
        <w:t>Implémentation : branche isolée, tests, fuzz, invariants et revue humaine.</w:t>
      </w:r>
    </w:p>
    <w:p>
      <w:pPr>
        <w:numPr>
          <w:ilvl w:val="0"/>
          <w:numId w:val="15"/>
        </w:numPr>
        <w:spacing w:after="80" w:line="283" w:lineRule="auto"/>
      </w:pPr>
      <w:r>
        <w:rPr>
          <w:rFonts w:ascii="Arial" w:hAnsi="Arial" w:eastAsia="Arial"/>
          <w:color w:val="162019"/>
          <w:sz w:val="20"/>
        </w:rPr>
        <w:t>Release : build reproductible, signatures, artefacts, ABI, bytecode et hashes.</w:t>
      </w:r>
    </w:p>
    <w:p>
      <w:pPr>
        <w:numPr>
          <w:ilvl w:val="0"/>
          <w:numId w:val="15"/>
        </w:numPr>
        <w:spacing w:after="80" w:line="283" w:lineRule="auto"/>
      </w:pPr>
      <w:r>
        <w:rPr>
          <w:rFonts w:ascii="Arial" w:hAnsi="Arial" w:eastAsia="Arial"/>
          <w:color w:val="162019"/>
          <w:sz w:val="20"/>
        </w:rPr>
        <w:t>Déploiement : simulation, multisig, vérification, monitoring et caps initiaux faibles.</w:t>
      </w:r>
    </w:p>
    <w:p>
      <w:pPr>
        <w:numPr>
          <w:ilvl w:val="0"/>
          <w:numId w:val="15"/>
        </w:numPr>
        <w:spacing w:after="80" w:line="283" w:lineRule="auto"/>
      </w:pPr>
      <w:r>
        <w:rPr>
          <w:rFonts w:ascii="Arial" w:hAnsi="Arial" w:eastAsia="Arial"/>
          <w:color w:val="162019"/>
          <w:sz w:val="20"/>
        </w:rPr>
        <w:t>Observation : fenêtre de stabilité avant extension du public, des montants ou des fonctions.</w:t>
      </w:r>
    </w:p>
    <w:p>
      <w:pPr>
        <w:keepNext/>
        <w:spacing w:before="440" w:after="100"/>
      </w:pPr>
      <w:r>
        <w:rPr>
          <w:rFonts w:ascii="Arial" w:hAnsi="Arial" w:eastAsia="Arial"/>
          <w:b/>
          <w:color w:val="C6A15B"/>
          <w:sz w:val="16"/>
        </w:rPr>
        <w:t>CHAPITRE 11</w:t>
      </w:r>
    </w:p>
    <w:p>
      <w:pPr>
        <w:pStyle w:val="Heading1"/>
        <w:pageBreakBefore w:val="0"/>
      </w:pPr>
      <w:r>
        <w:t>Cadre juridique, conformité et communication</w:t>
      </w:r>
    </w:p>
    <w:p>
      <w:pPr>
        <w:keepNext/>
        <w:spacing w:after="320"/>
      </w:pPr>
      <w:r>
        <w:rPr>
          <w:rFonts w:ascii="Arial" w:hAnsi="Arial" w:eastAsia="Arial"/>
          <w:i/>
          <w:color w:val="66736B"/>
          <w:sz w:val="25"/>
        </w:rPr>
        <w:t>Une préparation structurée, pas un avis juridique.</w:t>
      </w:r>
    </w:p>
    <w:p>
      <w:pPr>
        <w:spacing w:before="100" w:after="180" w:line="283" w:lineRule="auto"/>
        <w:ind w:left="227" w:right="170"/>
        <w:shd w:fill="F6F0E3"/>
        <w:pBdr>
          <w:left w:val="single" w:sz="18" w:space="8" w:color="C6A15B"/>
        </w:pBdr>
      </w:pPr>
      <w:r>
        <w:rPr>
          <w:rFonts w:ascii="Arial" w:hAnsi="Arial" w:eastAsia="Arial"/>
          <w:b/>
          <w:color w:val="C6A15B"/>
          <w:sz w:val="16"/>
        </w:rPr>
        <w:t>POSITION</w:t>
        <w:br/>
      </w:r>
      <w:r>
        <w:rPr>
          <w:rFonts w:ascii="Arial" w:hAnsi="Arial" w:eastAsia="Arial"/>
          <w:b w:val="0"/>
          <w:color w:val="162019"/>
          <w:sz w:val="20"/>
        </w:rPr>
        <w:t>Toute offre, admission à la négociation, service sur crypto-actifs, mécanisme de garde, compensation ou distribution exige une qualification écrite adaptée au modèle réel. Le présent dossier ne remplace pas un conseil juridique.</w:t>
      </w:r>
    </w:p>
    <w:p>
      <w:pPr>
        <w:pStyle w:val="Heading2"/>
      </w:pPr>
      <w:r>
        <w:t>Chantiers prioritaires</w:t>
      </w:r>
    </w:p>
    <w:tbl>
      <w:tblPr>
        <w:tblStyle w:val="TableGrid"/>
        <w:tblW w:type="dxa" w:w="9500"/>
        <w:jc w:val="left"/>
        <w:tblLayout w:type="fixed"/>
        <w:tblLook w:firstColumn="1" w:firstRow="1" w:lastColumn="0" w:lastRow="0" w:noHBand="0" w:noVBand="1" w:val="04A0"/>
        <w:tblInd w:w="120" w:type="dxa"/>
      </w:tblPr>
      <w:tblGrid>
        <w:gridCol w:w="1700"/>
        <w:gridCol w:w="4600"/>
        <w:gridCol w:w="3200"/>
      </w:tblGrid>
      <w:tr>
        <w:trPr>
          <w:tblHeader w:val="true"/>
          <w:cantSplit/>
        </w:trPr>
        <w:tc>
          <w:tcPr>
            <w:tcW w:type="dxa" w:w="1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4600"/>
            <w:shd w:fill="06110B"/>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QUESTION À TRANCHER</w:t>
            </w:r>
          </w:p>
        </w:tc>
        <w:tc>
          <w:tcPr>
            <w:tcW w:type="dxa" w:w="32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LIVRABLE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Entité</w:t>
            </w:r>
          </w:p>
        </w:tc>
        <w:tc>
          <w:tcPr>
            <w:tcW w:type="dxa" w:w="4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Qui contracte, développe, publie et assume la responsabilité ?</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Société, dirigeants, siège, contacts et gouvernance</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MiCA</w:t>
            </w:r>
          </w:p>
        </w:tc>
        <w:tc>
          <w:tcPr>
            <w:tcW w:type="dxa" w:w="4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entre-t-il dans le champ et dans quelle catégorie ?</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Note de qualification et obligations applicables</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Offre / admission</w:t>
            </w:r>
          </w:p>
        </w:tc>
        <w:tc>
          <w:tcPr>
            <w:tcW w:type="dxa" w:w="4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offre ou une admission est-elle envisagée ?</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Décision formelle ; livre blanc et notification si requis</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Services</w:t>
            </w:r>
          </w:p>
        </w:tc>
        <w:tc>
          <w:tcPr>
            <w:tcW w:type="dxa" w:w="4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 exerce-t-il garde, transfert, placement, conseil ou exécution ?</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Cartographie des services et licences éventuelles</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AML/CFT</w:t>
            </w:r>
          </w:p>
        </w:tc>
        <w:tc>
          <w:tcPr>
            <w:tcW w:type="dxa" w:w="4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Quels flux, contreparties et remboursements existent ?</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Procédure proportionnée et restrictions</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RGPD</w:t>
            </w:r>
          </w:p>
        </w:tc>
        <w:tc>
          <w:tcPr>
            <w:tcW w:type="dxa" w:w="4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Quelles données, finalités, bases légales et sous-traitants ?</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Registre, politique, DPA et droits des personnes</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Contrats</w:t>
            </w:r>
          </w:p>
        </w:tc>
        <w:tc>
          <w:tcPr>
            <w:tcW w:type="dxa" w:w="4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Quelles responsabilités, SLA, caps, recours et juridictions ?</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Conditions de service et contrats pilotes</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Fiscalité</w:t>
            </w:r>
          </w:p>
        </w:tc>
        <w:tc>
          <w:tcPr>
            <w:tcW w:type="dxa" w:w="4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Comment traiter frais, escrows, collatéraux et jetons ?</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Note comptable et fiscale</w:t>
            </w:r>
          </w:p>
        </w:tc>
      </w:tr>
    </w:tbl>
    <w:p>
      <w:pPr>
        <w:spacing w:after="40"/>
      </w:pPr>
    </w:p>
    <w:p>
      <w:pPr>
        <w:pStyle w:val="Heading2"/>
      </w:pPr>
      <w:r>
        <w:t>Principes de communication</w:t>
      </w:r>
    </w:p>
    <w:p>
      <w:pPr>
        <w:numPr>
          <w:ilvl w:val="0"/>
          <w:numId w:val="10"/>
        </w:numPr>
        <w:spacing w:after="80" w:line="283" w:lineRule="auto"/>
      </w:pPr>
      <w:r>
        <w:rPr>
          <w:rFonts w:ascii="Arial" w:hAnsi="Arial" w:eastAsia="Arial"/>
          <w:color w:val="162019"/>
          <w:sz w:val="20"/>
        </w:rPr>
        <w:t>Ne jamais présenter un prototype ou un testnet comme un déploiement production.</w:t>
      </w:r>
    </w:p>
    <w:p>
      <w:pPr>
        <w:numPr>
          <w:ilvl w:val="0"/>
          <w:numId w:val="10"/>
        </w:numPr>
        <w:spacing w:after="80" w:line="283" w:lineRule="auto"/>
      </w:pPr>
      <w:r>
        <w:rPr>
          <w:rFonts w:ascii="Arial" w:hAnsi="Arial" w:eastAsia="Arial"/>
          <w:color w:val="162019"/>
          <w:sz w:val="20"/>
        </w:rPr>
        <w:t>Ne jamais présenter un PASS interne comme une certification ou un audit indépendant.</w:t>
      </w:r>
    </w:p>
    <w:p>
      <w:pPr>
        <w:numPr>
          <w:ilvl w:val="0"/>
          <w:numId w:val="10"/>
        </w:numPr>
        <w:spacing w:after="80" w:line="283" w:lineRule="auto"/>
      </w:pPr>
      <w:r>
        <w:rPr>
          <w:rFonts w:ascii="Arial" w:hAnsi="Arial" w:eastAsia="Arial"/>
          <w:color w:val="162019"/>
          <w:sz w:val="20"/>
        </w:rPr>
        <w:t>Ne jamais affirmer que le marché, la conformité ou la nécessité du token sont validés sans preuve correspondante.</w:t>
      </w:r>
    </w:p>
    <w:p>
      <w:pPr>
        <w:numPr>
          <w:ilvl w:val="0"/>
          <w:numId w:val="10"/>
        </w:numPr>
        <w:spacing w:after="80" w:line="283" w:lineRule="auto"/>
      </w:pPr>
      <w:r>
        <w:rPr>
          <w:rFonts w:ascii="Arial" w:hAnsi="Arial" w:eastAsia="Arial"/>
          <w:color w:val="162019"/>
          <w:sz w:val="20"/>
        </w:rPr>
        <w:t>Ne jamais garantir rendement, valeur future, liquidité, rachat, sécurité absolue ou vérité automatique.</w:t>
      </w:r>
    </w:p>
    <w:p>
      <w:pPr>
        <w:numPr>
          <w:ilvl w:val="0"/>
          <w:numId w:val="10"/>
        </w:numPr>
        <w:spacing w:after="80" w:line="283" w:lineRule="auto"/>
      </w:pPr>
      <w:r>
        <w:rPr>
          <w:rFonts w:ascii="Arial" w:hAnsi="Arial" w:eastAsia="Arial"/>
          <w:color w:val="162019"/>
          <w:sz w:val="20"/>
        </w:rPr>
        <w:t>Aligner le site, les réseaux sociaux, les présentations, les conditions et les rapports sur le même registre de statut.</w:t>
      </w:r>
    </w:p>
    <w:p>
      <w:pPr>
        <w:pStyle w:val="Heading2"/>
      </w:pPr>
      <w:r>
        <w:t>Références officielles vérifiées</w:t>
      </w:r>
    </w:p>
    <w:p>
      <w:pPr>
        <w:spacing w:after="100"/>
      </w:pPr>
      <w:hyperlink r:id="rId12">
        <w:r>
          <w:rPr>
            <w:color w:val="155A3E"/>
            <w:u w:val="single"/>
          </w:rPr>
          <w:t>Règlement (UE) 2023/1114 — MiCA</w:t>
        </w:r>
      </w:hyperlink>
    </w:p>
    <w:p>
      <w:pPr>
        <w:spacing w:after="100"/>
      </w:pPr>
      <w:hyperlink r:id="rId13">
        <w:r>
          <w:rPr>
            <w:color w:val="155A3E"/>
            <w:u w:val="single"/>
          </w:rPr>
          <w:t>OpenZeppelin Contracts 5.x — Governance</w:t>
        </w:r>
      </w:hyperlink>
    </w:p>
    <w:p>
      <w:pPr>
        <w:spacing w:after="100"/>
      </w:pPr>
      <w:hyperlink r:id="rId14">
        <w:r>
          <w:rPr>
            <w:color w:val="155A3E"/>
            <w:u w:val="single"/>
          </w:rPr>
          <w:t>Base — Network Information</w:t>
        </w:r>
      </w:hyperlink>
    </w:p>
    <w:p>
      <w:pPr>
        <w:spacing w:after="100"/>
      </w:pPr>
      <w:hyperlink r:id="rId15">
        <w:r>
          <w:rPr>
            <w:color w:val="155A3E"/>
            <w:u w:val="single"/>
          </w:rPr>
          <w:t>AMF — Émission et admission de crypto-actifs</w:t>
        </w:r>
      </w:hyperlink>
    </w:p>
    <w:p>
      <w:pPr>
        <w:keepNext/>
        <w:spacing w:before="440" w:after="100"/>
      </w:pPr>
      <w:r>
        <w:rPr>
          <w:rFonts w:ascii="Arial" w:hAnsi="Arial" w:eastAsia="Arial"/>
          <w:b/>
          <w:color w:val="C6A15B"/>
          <w:sz w:val="16"/>
        </w:rPr>
        <w:t>CHAPITRE 12</w:t>
      </w:r>
    </w:p>
    <w:p>
      <w:pPr>
        <w:pStyle w:val="Heading1"/>
        <w:pageBreakBefore w:val="0"/>
      </w:pPr>
      <w:r>
        <w:t>Registre des risques et conditions d’arrêt</w:t>
      </w:r>
    </w:p>
    <w:p>
      <w:pPr>
        <w:keepNext/>
        <w:spacing w:after="320"/>
      </w:pPr>
      <w:r>
        <w:rPr>
          <w:rFonts w:ascii="Arial" w:hAnsi="Arial" w:eastAsia="Arial"/>
          <w:i/>
          <w:color w:val="66736B"/>
          <w:sz w:val="25"/>
        </w:rPr>
        <w:t>Le risque doit conduire à une décision, pas seulement à une ligne dans un tableau.</w:t>
      </w:r>
    </w:p>
    <w:tbl>
      <w:tblPr>
        <w:tblStyle w:val="TableGrid"/>
        <w:tblW w:type="dxa" w:w="9500"/>
        <w:jc w:val="left"/>
        <w:tblLayout w:type="fixed"/>
        <w:tblLook w:firstColumn="1" w:firstRow="1" w:lastColumn="0" w:lastRow="0" w:noHBand="0" w:noVBand="1" w:val="04A0"/>
        <w:tblInd w:w="120" w:type="dxa"/>
      </w:tblPr>
      <w:tblGrid>
        <w:gridCol w:w="2650"/>
        <w:gridCol w:w="1450"/>
        <w:gridCol w:w="1300"/>
        <w:gridCol w:w="4100"/>
      </w:tblGrid>
      <w:tr>
        <w:trPr>
          <w:tblHeader w:val="true"/>
          <w:cantSplit/>
        </w:trPr>
        <w:tc>
          <w:tcPr>
            <w:tcW w:type="dxa" w:w="2650"/>
            <w:shd w:fill="9B2C2C"/>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c>
          <w:tcPr>
            <w:tcW w:type="dxa" w:w="1450"/>
            <w:shd w:fill="9B2C2C"/>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PROBABILITÉ</w:t>
            </w:r>
          </w:p>
        </w:tc>
        <w:tc>
          <w:tcPr>
            <w:tcW w:type="dxa" w:w="1300"/>
            <w:shd w:fill="9B2C2C"/>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4100"/>
            <w:shd w:fill="9B2C2C"/>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RÉPONSE / ARRÊT</w:t>
            </w:r>
          </w:p>
        </w:tc>
      </w:tr>
      <w:tr>
        <w:trPr>
          <w:cantSplit/>
        </w:trPr>
        <w:tc>
          <w:tcPr>
            <w:tcW w:type="dxa" w:w="2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Absence de besoin client</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Critique</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Interviews, workflow, prix ; arrêter le template sans preuve</w:t>
            </w:r>
          </w:p>
        </w:tc>
      </w:tr>
      <w:tr>
        <w:trPr>
          <w:cantSplit/>
        </w:trPr>
        <w:tc>
          <w:tcPr>
            <w:tcW w:type="dxa" w:w="2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Token inutile</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Voie tokenless ; seuil de nécessité ≥ 6/10</w:t>
            </w:r>
          </w:p>
        </w:tc>
      </w:tr>
      <w:tr>
        <w:trPr>
          <w:cantSplit/>
        </w:trPr>
        <w:tc>
          <w:tcPr>
            <w:tcW w:type="dxa" w:w="2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Erreur de classification</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Moyenne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Critique</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 closed, quorum, exceptions et audit</w:t>
            </w:r>
          </w:p>
        </w:tc>
      </w:tr>
      <w:tr>
        <w:trPr>
          <w:cantSplit/>
        </w:trPr>
        <w:tc>
          <w:tcPr>
            <w:tcW w:type="dxa" w:w="2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Vulnérabilité contrat</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Moyenne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Critique</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fuzz, invariants, caps et bug bounty</w:t>
            </w:r>
          </w:p>
        </w:tc>
      </w:tr>
      <w:tr>
        <w:trPr>
          <w:cantSplit/>
        </w:trPr>
        <w:tc>
          <w:tcPr>
            <w:tcW w:type="dxa" w:w="2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Compromission de clé</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Moyenne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Critique</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Multisig, hardware, rotation, timelock et arrêt d’urgence</w:t>
            </w:r>
          </w:p>
        </w:tc>
      </w:tr>
      <w:tr>
        <w:trPr>
          <w:cantSplit/>
        </w:trPr>
        <w:tc>
          <w:tcPr>
            <w:tcW w:type="dxa" w:w="2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Dépendance Base / RPC</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Moyenne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Multi-RPC, reorg, modes dégradés et limites contractuelles</w:t>
            </w:r>
          </w:p>
        </w:tc>
      </w:tr>
      <w:tr>
        <w:trPr>
          <w:cantSplit/>
        </w:trPr>
        <w:tc>
          <w:tcPr>
            <w:tcW w:type="dxa" w:w="2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Non-conformité</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Moyenne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Critique</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Geler offre et fonctions économiques jusqu’à avis écrit</w:t>
            </w:r>
          </w:p>
        </w:tc>
      </w:tr>
      <w:tr>
        <w:trPr>
          <w:cantSplit/>
        </w:trPr>
        <w:tc>
          <w:tcPr>
            <w:tcW w:type="dxa" w:w="2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Donnée physique fausse</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Élevée sans matériel</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Limiter Proof-of-Reality à la R&amp;D contrôlée</w:t>
            </w:r>
          </w:p>
        </w:tc>
      </w:tr>
      <w:tr>
        <w:trPr>
          <w:cantSplit/>
        </w:trPr>
        <w:tc>
          <w:tcPr>
            <w:tcW w:type="dxa" w:w="26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Dérive de scope</w:t>
            </w:r>
          </w:p>
        </w:tc>
        <w:tc>
          <w:tcPr>
            <w:tcW w:type="dxa" w:w="1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Élevée</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 template à la fois et gate de changement</w:t>
            </w:r>
          </w:p>
        </w:tc>
      </w:tr>
      <w:tr>
        <w:trPr>
          <w:cantSplit/>
        </w:trPr>
        <w:tc>
          <w:tcPr>
            <w:tcW w:type="dxa" w:w="26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Réputation</w:t>
            </w:r>
          </w:p>
        </w:tc>
        <w:tc>
          <w:tcPr>
            <w:tcW w:type="dxa" w:w="1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Moyenne</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Élevé</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Transparence, statuts vérifiables et gestion d’incident</w:t>
            </w:r>
          </w:p>
        </w:tc>
      </w:tr>
    </w:tbl>
    <w:p>
      <w:pPr>
        <w:spacing w:after="40"/>
      </w:pPr>
    </w:p>
    <w:p>
      <w:pPr>
        <w:pStyle w:val="Heading2"/>
      </w:pPr>
      <w:r>
        <w:t>Conditions d’arrêt immédiat</w:t>
      </w:r>
    </w:p>
    <w:p>
      <w:pPr>
        <w:numPr>
          <w:ilvl w:val="0"/>
          <w:numId w:val="10"/>
        </w:numPr>
        <w:spacing w:after="80" w:line="283" w:lineRule="auto"/>
      </w:pPr>
      <w:r>
        <w:rPr>
          <w:rFonts w:ascii="Arial" w:hAnsi="Arial" w:eastAsia="Arial"/>
          <w:color w:val="162019"/>
          <w:sz w:val="20"/>
        </w:rPr>
        <w:t>La conséquence ne peut pas être préfinancée ou plafonnée.</w:t>
      </w:r>
    </w:p>
    <w:p>
      <w:pPr>
        <w:numPr>
          <w:ilvl w:val="0"/>
          <w:numId w:val="10"/>
        </w:numPr>
        <w:spacing w:after="80" w:line="283" w:lineRule="auto"/>
      </w:pPr>
      <w:r>
        <w:rPr>
          <w:rFonts w:ascii="Arial" w:hAnsi="Arial" w:eastAsia="Arial"/>
          <w:color w:val="162019"/>
          <w:sz w:val="20"/>
        </w:rPr>
        <w:t>La faute dépend d’un jugement subjectif non couvert par une procédure humaine explicite.</w:t>
      </w:r>
    </w:p>
    <w:p>
      <w:pPr>
        <w:numPr>
          <w:ilvl w:val="0"/>
          <w:numId w:val="10"/>
        </w:numPr>
        <w:spacing w:after="80" w:line="283" w:lineRule="auto"/>
      </w:pPr>
      <w:r>
        <w:rPr>
          <w:rFonts w:ascii="Arial" w:hAnsi="Arial" w:eastAsia="Arial"/>
          <w:color w:val="162019"/>
          <w:sz w:val="20"/>
        </w:rPr>
        <w:t>La source de preuve ne peut pas être authentifiée ou diversifiée.</w:t>
      </w:r>
    </w:p>
    <w:p>
      <w:pPr>
        <w:numPr>
          <w:ilvl w:val="0"/>
          <w:numId w:val="10"/>
        </w:numPr>
        <w:spacing w:after="80" w:line="283" w:lineRule="auto"/>
      </w:pPr>
      <w:r>
        <w:rPr>
          <w:rFonts w:ascii="Arial" w:hAnsi="Arial" w:eastAsia="Arial"/>
          <w:color w:val="162019"/>
          <w:sz w:val="20"/>
        </w:rPr>
        <w:t>Le client refuse d’exposer son workflow, son coût ou son décideur.</w:t>
      </w:r>
    </w:p>
    <w:p>
      <w:pPr>
        <w:numPr>
          <w:ilvl w:val="0"/>
          <w:numId w:val="10"/>
        </w:numPr>
        <w:spacing w:after="80" w:line="283" w:lineRule="auto"/>
      </w:pPr>
      <w:r>
        <w:rPr>
          <w:rFonts w:ascii="Arial" w:hAnsi="Arial" w:eastAsia="Arial"/>
          <w:color w:val="162019"/>
          <w:sz w:val="20"/>
        </w:rPr>
        <w:t>L’avantage disparaît face à l’alternative la plus simple.</w:t>
      </w:r>
    </w:p>
    <w:p>
      <w:pPr>
        <w:numPr>
          <w:ilvl w:val="0"/>
          <w:numId w:val="10"/>
        </w:numPr>
        <w:spacing w:after="80" w:line="283" w:lineRule="auto"/>
      </w:pPr>
      <w:r>
        <w:rPr>
          <w:rFonts w:ascii="Arial" w:hAnsi="Arial" w:eastAsia="Arial"/>
          <w:color w:val="162019"/>
          <w:sz w:val="20"/>
        </w:rPr>
        <w:t>Un audit ou un avis juridique révèle un risque disproportionné et non réductible.</w:t>
      </w:r>
    </w:p>
    <w:p>
      <w:pPr>
        <w:keepNext/>
        <w:spacing w:before="440" w:after="100"/>
      </w:pPr>
      <w:r>
        <w:rPr>
          <w:rFonts w:ascii="Arial" w:hAnsi="Arial" w:eastAsia="Arial"/>
          <w:b/>
          <w:color w:val="C6A15B"/>
          <w:sz w:val="16"/>
        </w:rPr>
        <w:t>CHAPITRE 13</w:t>
      </w:r>
    </w:p>
    <w:p>
      <w:pPr>
        <w:pStyle w:val="Heading1"/>
        <w:pageBreakBefore w:val="0"/>
      </w:pPr>
      <w:r>
        <w:t>Indicateurs, décisions et dossier de preuve</w:t>
      </w:r>
    </w:p>
    <w:p>
      <w:pPr>
        <w:keepNext/>
        <w:spacing w:after="320"/>
      </w:pPr>
      <w:r>
        <w:rPr>
          <w:rFonts w:ascii="Arial" w:hAnsi="Arial" w:eastAsia="Arial"/>
          <w:i/>
          <w:color w:val="66736B"/>
          <w:sz w:val="25"/>
        </w:rPr>
        <w:t>Chaque claim public doit pointer vers un artefact, une métrique ou une décision.</w:t>
      </w:r>
    </w:p>
    <w:p>
      <w:pPr>
        <w:pStyle w:val="Heading2"/>
      </w:pPr>
      <w:r>
        <w:t>Tableau de bord de vérité</w:t>
      </w:r>
    </w:p>
    <w:tbl>
      <w:tblPr>
        <w:tblStyle w:val="TableGrid"/>
        <w:tblW w:type="dxa" w:w="9500"/>
        <w:jc w:val="left"/>
        <w:tblLayout w:type="fixed"/>
        <w:tblLook w:firstColumn="1" w:firstRow="1" w:lastColumn="0" w:lastRow="0" w:noHBand="0" w:noVBand="1" w:val="04A0"/>
        <w:tblInd w:w="120" w:type="dxa"/>
      </w:tblPr>
      <w:tblGrid>
        <w:gridCol w:w="1700"/>
        <w:gridCol w:w="4700"/>
        <w:gridCol w:w="3100"/>
      </w:tblGrid>
      <w:tr>
        <w:trPr>
          <w:tblHeader w:val="true"/>
          <w:cantSplit/>
        </w:trPr>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AXE</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INDICATEURS</w:t>
            </w:r>
          </w:p>
        </w:tc>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 DE PASSAGE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Produit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Entretiens, workflows, perte, fréquence, budget</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Problème répété et décideur prêt à piloter</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Commercial</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Pilotes, prix, conversion, renouvellement</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Paiement ou engagement formel mesurable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Technique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Builds, tests, coverage, incidents, disponibilité</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RC reproductible et périmètre stabilisé</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Preuve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UNDETERMINED, faux positifs, contestations</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Aucune attribution abusive ; exceptions documentées</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Sécurité</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Findings, délai de correction, dépendances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indépendant et absence de Critical/High ouverts</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Économie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Marge, coût de preuve, coût chaîne, support</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Unit economics soutenables sans token</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Juridique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Avis, contrats, données et restrictions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Qualification écrite et opérations conformes</w:t>
            </w:r>
          </w:p>
        </w:tc>
      </w:tr>
    </w:tbl>
    <w:p>
      <w:pPr>
        <w:spacing w:after="40"/>
      </w:pPr>
    </w:p>
    <w:p>
      <w:pPr>
        <w:pStyle w:val="Heading2"/>
      </w:pPr>
      <w:r>
        <w:t>Registre de preuve minimal</w:t>
      </w:r>
    </w:p>
    <w:tbl>
      <w:tblPr>
        <w:tblStyle w:val="TableGrid"/>
        <w:tblW w:type="dxa" w:w="9500"/>
        <w:jc w:val="left"/>
        <w:tblLayout w:type="fixed"/>
        <w:tblLook w:firstColumn="1" w:firstRow="1" w:lastColumn="0" w:lastRow="0" w:noHBand="0" w:noVBand="1" w:val="04A0"/>
        <w:tblInd w:w="120" w:type="dxa"/>
      </w:tblPr>
      <w:tblGrid>
        <w:gridCol w:w="2200"/>
        <w:gridCol w:w="5000"/>
        <w:gridCol w:w="2300"/>
      </w:tblGrid>
      <w:tr>
        <w:trPr>
          <w:tblHeader w:val="true"/>
          <w:cantSplit/>
        </w:trPr>
        <w:tc>
          <w:tcPr>
            <w:tcW w:type="dxa" w:w="22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ARTEFACT</w:t>
            </w:r>
          </w:p>
        </w:tc>
        <w:tc>
          <w:tcPr>
            <w:tcW w:type="dxa" w:w="5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CONTENU</w:t>
            </w:r>
          </w:p>
        </w:tc>
        <w:tc>
          <w:tcPr>
            <w:tcW w:type="dxa" w:w="2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 V1.0</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Release manifest</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Commit, tag, toolchain, dépendances, ABI, bytecode, hashes</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annexer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Test evidence</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Suites, paramètres, seeds, coverage, résultats et logs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Phase 3B partiel ; 3.E/RC à annexer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Deployment register</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Réseau, adresses, tx, blocs, rôles et vérification</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consolider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Security pack</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Threat model, findings, dispositions, audit et exceptions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Audit externe à réaliser</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Operations pack</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Monitoring, incident, reprise, clés, rotation et rollback</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industrialiser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Product evidence</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Entretiens, workflows, prix, pilote et renouvellement</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Non validé</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Legal pack</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Entité, qualification, contrats, RGPD, AML et fiscalité</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préparer</w:t>
            </w:r>
          </w:p>
        </w:tc>
      </w:tr>
    </w:tbl>
    <w:p>
      <w:pPr>
        <w:spacing w:after="40"/>
      </w:pPr>
    </w:p>
    <w:p>
      <w:pPr>
        <w:pStyle w:val="Heading2"/>
      </w:pPr>
      <w:r>
        <w:t>Matrice de décision</w:t>
      </w:r>
    </w:p>
    <w:tbl>
      <w:tblPr>
        <w:tblStyle w:val="TableGrid"/>
        <w:tblW w:type="dxa" w:w="9500"/>
        <w:jc w:val="left"/>
        <w:tblLayout w:type="fixed"/>
        <w:tblLook w:firstColumn="1" w:firstRow="1" w:lastColumn="0" w:lastRow="0" w:noHBand="0" w:noVBand="1" w:val="04A0"/>
        <w:tblInd w:w="120" w:type="dxa"/>
      </w:tblPr>
      <w:tblGrid>
        <w:gridCol w:w="2600"/>
        <w:gridCol w:w="4000"/>
        <w:gridCol w:w="2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SCÉNARIO</w:t>
            </w:r>
          </w:p>
        </w:tc>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Produit non validé</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Pas de douleur, budget ou avantage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Arrêter le template et documenter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Produit validé, token inutile</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Clients paient mais VERIDIA est substituable</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Lancer tokenless ; garder l’actif inactif</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Produit et token validés</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Nécessité ≥ 6/10, audit et avis juridique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Décision distincte de testnet puis mainnet</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Risque excessif</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Audit, incident ou qualification défavorable</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Geler les fonctions économiques</w:t>
            </w:r>
          </w:p>
        </w:tc>
      </w:tr>
    </w:tbl>
    <w:p>
      <w:pPr>
        <w:spacing w:after="40"/>
      </w:pPr>
    </w:p>
    <w:p>
      <w:pPr>
        <w:keepNext/>
        <w:spacing w:before="440" w:after="100"/>
      </w:pPr>
      <w:r>
        <w:rPr>
          <w:rFonts w:ascii="Arial" w:hAnsi="Arial" w:eastAsia="Arial"/>
          <w:b/>
          <w:color w:val="C6A15B"/>
          <w:sz w:val="16"/>
        </w:rPr>
        <w:t>CHAPITRE 14</w:t>
      </w:r>
    </w:p>
    <w:p>
      <w:pPr>
        <w:pStyle w:val="Heading1"/>
        <w:pageBreakBefore w:val="0"/>
      </w:pPr>
      <w:r>
        <w:t>Doctrine de communication Pacturion</w:t>
      </w:r>
    </w:p>
    <w:p>
      <w:pPr>
        <w:keepNext/>
        <w:spacing w:after="320"/>
      </w:pPr>
      <w:r>
        <w:rPr>
          <w:rFonts w:ascii="Arial" w:hAnsi="Arial" w:eastAsia="Arial"/>
          <w:i/>
          <w:color w:val="66736B"/>
          <w:sz w:val="25"/>
        </w:rPr>
        <w:t>Une marque crédible dit exactement ce qui existe — ni moins, ni plus.</w:t>
      </w:r>
    </w:p>
    <w:p>
      <w:pPr>
        <w:pStyle w:val="Heading2"/>
      </w:pPr>
      <w:r>
        <w:t>Message central</w:t>
      </w:r>
    </w:p>
    <w:p>
      <w:pPr>
        <w:spacing w:before="100" w:after="180" w:line="283" w:lineRule="auto"/>
        <w:ind w:left="227" w:right="170"/>
        <w:shd w:fill="EDF3EF"/>
        <w:pBdr>
          <w:left w:val="single" w:sz="18" w:space="8" w:color="155A3E"/>
        </w:pBdr>
      </w:pPr>
      <w:r>
        <w:rPr>
          <w:rFonts w:ascii="Arial" w:hAnsi="Arial" w:eastAsia="Arial"/>
          <w:b/>
          <w:color w:val="155A3E"/>
          <w:sz w:val="16"/>
        </w:rPr>
        <w:t>FORMULATION APPROUVÉE</w:t>
        <w:br/>
      </w:r>
      <w:r>
        <w:rPr>
          <w:rFonts w:ascii="Arial" w:hAnsi="Arial" w:eastAsia="Arial"/>
          <w:b w:val="0"/>
          <w:color w:val="162019"/>
          <w:sz w:val="20"/>
        </w:rPr>
        <w:t>Pacturion développe une infrastructure dédiée aux engagements vérifiables. Sa technologie s’appuie sur VERIDIA Protocol pour rendre des décisions traçables et reproductibles selon des règles prédéfinies. VERIDIA ne prétend pas établir une vérité absolue : il structure les engagements, les preuves admissibles et les conséquences autorisées.</w:t>
      </w:r>
    </w:p>
    <w:p>
      <w:pPr>
        <w:pStyle w:val="Heading2"/>
      </w:pPr>
      <w:r>
        <w:t>Lexique public</w:t>
      </w:r>
    </w:p>
    <w:tbl>
      <w:tblPr>
        <w:tblStyle w:val="TableGrid"/>
        <w:tblW w:type="dxa" w:w="9500"/>
        <w:jc w:val="left"/>
        <w:tblLayout w:type="fixed"/>
        <w:tblLook w:firstColumn="1" w:firstRow="1" w:lastColumn="0" w:lastRow="0" w:noHBand="0" w:noVBand="1" w:val="04A0"/>
        <w:tblInd w:w="120" w:type="dxa"/>
      </w:tblPr>
      <w:tblGrid>
        <w:gridCol w:w="3000"/>
        <w:gridCol w:w="2700"/>
        <w:gridCol w:w="3800"/>
      </w:tblGrid>
      <w:tr>
        <w:trPr>
          <w:tblHeader w:val="true"/>
          <w:cantSplit/>
        </w:trPr>
        <w:tc>
          <w:tcPr>
            <w:tcW w:type="dxa" w:w="3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UTILISER</w:t>
            </w:r>
          </w:p>
        </w:tc>
        <w:tc>
          <w:tcPr>
            <w:tcW w:type="dxa" w:w="27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ÉVITER</w:t>
            </w:r>
          </w:p>
        </w:tc>
        <w:tc>
          <w:tcPr>
            <w:tcW w:type="dxa" w:w="38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POURQUOI</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 développement et validation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Prêt pour la production</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L’audit externe et les preuves d’exploitation manquent</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Résultat traçable et reproductible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Vérité garantie</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 système dépend de sources et de frontières de confiance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Conséquence bornée et préautorisée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Assurance universelle</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 cadre juridique et le périmètre sont différents</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 interne PASS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Certifié / audité</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revue indépendante reste nécessaire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Cas d’usage exploré</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Marché validé</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La volonté de payer et le renouvellement ne sont pas démontrés</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optionnel selon nécessité</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Token indispensable</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 produit doit réussir sans dépendance artificielle</w:t>
            </w:r>
          </w:p>
        </w:tc>
      </w:tr>
    </w:tbl>
    <w:p>
      <w:pPr>
        <w:spacing w:after="40"/>
      </w:pPr>
    </w:p>
    <w:p>
      <w:pPr>
        <w:pStyle w:val="Heading2"/>
      </w:pPr>
      <w:r>
        <w:t>Règle de cohérence</w:t>
      </w:r>
    </w:p>
    <w:p>
      <w:pPr>
        <w:spacing w:after="140" w:line="307" w:lineRule="auto"/>
      </w:pPr>
      <w:r>
        <w:rPr>
          <w:rFonts w:ascii="Arial" w:hAnsi="Arial" w:eastAsia="Arial"/>
          <w:i w:val="0"/>
          <w:color w:val="162019"/>
          <w:sz w:val="20"/>
        </w:rPr>
        <w:t>Le site pacturion.com, LinkedIn, les documents commerciaux, la documentation technique, les conditions de service et les futurs rapports d’audit doivent utiliser les mêmes statuts, la même définition des limites et les mêmes preuves. Toute évolution publique doit être précédée d’une mise à jour du registre documentaire.</w:t>
      </w:r>
    </w:p>
    <w:p>
      <w:pPr>
        <w:keepNext/>
        <w:spacing w:before="440" w:after="100"/>
      </w:pPr>
      <w:r>
        <w:rPr>
          <w:rFonts w:ascii="Arial" w:hAnsi="Arial" w:eastAsia="Arial"/>
          <w:b/>
          <w:color w:val="C6A15B"/>
          <w:sz w:val="16"/>
        </w:rPr>
        <w:t>CHAPITRE A</w:t>
      </w:r>
    </w:p>
    <w:p>
      <w:pPr>
        <w:pStyle w:val="Heading1"/>
        <w:pageBreakBefore w:val="0"/>
      </w:pPr>
      <w:r>
        <w:t>Glossaire</w:t>
      </w:r>
    </w:p>
    <w:p>
      <w:pPr>
        <w:keepNext/>
        <w:spacing w:after="320"/>
      </w:pPr>
      <w:r>
        <w:rPr>
          <w:rFonts w:ascii="Arial" w:hAnsi="Arial" w:eastAsia="Arial"/>
          <w:i/>
          <w:color w:val="66736B"/>
          <w:sz w:val="25"/>
        </w:rPr>
        <w:t>Définitions de travail utilisées dans ce dossier.</w:t>
      </w:r>
    </w:p>
    <w:tbl>
      <w:tblPr>
        <w:tblStyle w:val="TableGrid"/>
        <w:tblW w:type="dxa" w:w="9500"/>
        <w:jc w:val="left"/>
        <w:tblLayout w:type="fixed"/>
        <w:tblLook w:firstColumn="1" w:firstRow="1" w:lastColumn="0" w:lastRow="0" w:noHBand="0" w:noVBand="1" w:val="04A0"/>
        <w:tblInd w:w="120" w:type="dxa"/>
      </w:tblPr>
      <w:tblGrid>
        <w:gridCol w:w="2600"/>
        <w:gridCol w:w="6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TERME</w:t>
            </w:r>
          </w:p>
        </w:tc>
        <w:tc>
          <w:tcPr>
            <w:tcW w:type="dxa" w:w="6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Engagement</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Objet signé qui fixe les acteurs, paramètres, délais, règles, sources et limites.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ALPHA</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Piste produit de garantie de service autour d’une action on-chain objectivement observable et bornée.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BCS</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Bounded Campaign Settlement ; règlement de campagne préfinancé par un sponsor.</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Proof-of-Reality</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Axe de recherche sur les preuves issues d’équipements et d’événements physiques.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Proof Certificate</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Enregistrement versionné résumant l’engagement, les preuves, la politique et le résultat.</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Collecteur</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Composant autorisé qui observe une source et authentifie une observation.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Fail closed</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Comportement qui refuse une attribution ou un paiement lorsque la preuve est insuffisante.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UNDETERMINED</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Résultat explicite indiquant que le système ne dispose pas d’éléments suffisants pour conclure.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Finalité</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Niveau de confirmation à partir duquel un événement est traité comme suffisamment stable.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Reorg</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Réorganisation de chaîne susceptible d’invalider un bloc ou un événement précédemment observé.</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Escrow</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Fonds séparés et affectés, libérables uniquement selon des règles préétablies.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Token necessity</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Propriété perdue lorsque VERIDIA est retiré ou remplacé par un substitut.</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Release Candidate</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Version candidate à la diffusion, figée pour validation ; ce statut n’équivaut pas à un audit externe.</w:t>
            </w:r>
          </w:p>
        </w:tc>
      </w:tr>
    </w:tbl>
    <w:p>
      <w:pPr>
        <w:spacing w:after="40"/>
      </w:pPr>
    </w:p>
    <w:p>
      <w:pPr>
        <w:keepNext/>
        <w:spacing w:before="440" w:after="100"/>
      </w:pPr>
      <w:r>
        <w:rPr>
          <w:rFonts w:ascii="Arial" w:hAnsi="Arial" w:eastAsia="Arial"/>
          <w:b/>
          <w:color w:val="C6A15B"/>
          <w:sz w:val="16"/>
        </w:rPr>
        <w:t>CHAPITRE B</w:t>
      </w:r>
    </w:p>
    <w:p>
      <w:pPr>
        <w:pStyle w:val="Heading1"/>
        <w:pageBreakBefore w:val="0"/>
      </w:pPr>
      <w:r>
        <w:t>Registre documentaire et références</w:t>
      </w:r>
    </w:p>
    <w:p>
      <w:pPr>
        <w:keepNext/>
        <w:spacing w:after="320"/>
      </w:pPr>
      <w:r>
        <w:rPr>
          <w:rFonts w:ascii="Arial" w:hAnsi="Arial" w:eastAsia="Arial"/>
          <w:i/>
          <w:color w:val="66736B"/>
          <w:sz w:val="25"/>
        </w:rPr>
        <w:t>Corpus utilisé pour la version 1.0 et éléments à intégrer.</w:t>
      </w:r>
    </w:p>
    <w:p>
      <w:pPr>
        <w:pStyle w:val="Heading2"/>
      </w:pPr>
      <w:r>
        <w:t>Sources internes utilisées</w:t>
      </w:r>
    </w:p>
    <w:p>
      <w:pPr>
        <w:numPr>
          <w:ilvl w:val="0"/>
          <w:numId w:val="10"/>
        </w:numPr>
        <w:spacing w:after="80" w:line="283" w:lineRule="auto"/>
      </w:pPr>
      <w:r>
        <w:rPr>
          <w:rFonts w:ascii="Arial" w:hAnsi="Arial" w:eastAsia="Arial"/>
          <w:color w:val="162019"/>
          <w:sz w:val="20"/>
        </w:rPr>
        <w:t>VERIDIA — Livre blanc stratégique, économique et technique v0.9, 3 septembre 2026.</w:t>
      </w:r>
    </w:p>
    <w:p>
      <w:pPr>
        <w:numPr>
          <w:ilvl w:val="0"/>
          <w:numId w:val="10"/>
        </w:numPr>
        <w:spacing w:after="80" w:line="283" w:lineRule="auto"/>
      </w:pPr>
      <w:r>
        <w:rPr>
          <w:rFonts w:ascii="Arial" w:hAnsi="Arial" w:eastAsia="Arial"/>
          <w:color w:val="162019"/>
          <w:sz w:val="20"/>
        </w:rPr>
        <w:t>VERIDIA — Roadmap opérationnelle 2026–2028, 3 septembre 2026.</w:t>
      </w:r>
    </w:p>
    <w:p>
      <w:pPr>
        <w:numPr>
          <w:ilvl w:val="0"/>
          <w:numId w:val="10"/>
        </w:numPr>
        <w:spacing w:after="80" w:line="283" w:lineRule="auto"/>
      </w:pPr>
      <w:r>
        <w:rPr>
          <w:rFonts w:ascii="Arial" w:hAnsi="Arial" w:eastAsia="Arial"/>
          <w:color w:val="162019"/>
          <w:sz w:val="20"/>
        </w:rPr>
        <w:t>VERIDIA Phase 2 Design Iterations 2 et 3, 26 août 2026.</w:t>
      </w:r>
    </w:p>
    <w:p>
      <w:pPr>
        <w:numPr>
          <w:ilvl w:val="0"/>
          <w:numId w:val="10"/>
        </w:numPr>
        <w:spacing w:after="80" w:line="283" w:lineRule="auto"/>
      </w:pPr>
      <w:r>
        <w:rPr>
          <w:rFonts w:ascii="Arial" w:hAnsi="Arial" w:eastAsia="Arial"/>
          <w:color w:val="162019"/>
          <w:sz w:val="20"/>
        </w:rPr>
        <w:t>VERIDIA Protocol Candidate Matrix et Token Necessity Analysis, 26 août 2026.</w:t>
      </w:r>
    </w:p>
    <w:p>
      <w:pPr>
        <w:numPr>
          <w:ilvl w:val="0"/>
          <w:numId w:val="10"/>
        </w:numPr>
        <w:spacing w:after="80" w:line="283" w:lineRule="auto"/>
      </w:pPr>
      <w:r>
        <w:rPr>
          <w:rFonts w:ascii="Arial" w:hAnsi="Arial" w:eastAsia="Arial"/>
          <w:color w:val="162019"/>
          <w:sz w:val="20"/>
        </w:rPr>
        <w:t>VERIDIA Fundamental Problem Map et Finalist Matrix, 26 août 2026.</w:t>
      </w:r>
    </w:p>
    <w:p>
      <w:pPr>
        <w:numPr>
          <w:ilvl w:val="0"/>
          <w:numId w:val="10"/>
        </w:numPr>
        <w:spacing w:after="80" w:line="283" w:lineRule="auto"/>
      </w:pPr>
      <w:r>
        <w:rPr>
          <w:rFonts w:ascii="Arial" w:hAnsi="Arial" w:eastAsia="Arial"/>
          <w:color w:val="162019"/>
          <w:sz w:val="20"/>
        </w:rPr>
        <w:t>ALPHA Use-Case Matrix — Phase 2.5, 26 août 2026.</w:t>
      </w:r>
    </w:p>
    <w:p>
      <w:pPr>
        <w:numPr>
          <w:ilvl w:val="0"/>
          <w:numId w:val="10"/>
        </w:numPr>
        <w:spacing w:after="80" w:line="283" w:lineRule="auto"/>
      </w:pPr>
      <w:r>
        <w:rPr>
          <w:rFonts w:ascii="Arial" w:hAnsi="Arial" w:eastAsia="Arial"/>
          <w:color w:val="162019"/>
          <w:sz w:val="20"/>
        </w:rPr>
        <w:t>VERIDIA Market Assumptions — Iteration 2, 26 août 2026.</w:t>
      </w:r>
    </w:p>
    <w:p>
      <w:pPr>
        <w:numPr>
          <w:ilvl w:val="0"/>
          <w:numId w:val="10"/>
        </w:numPr>
        <w:spacing w:after="80" w:line="283" w:lineRule="auto"/>
      </w:pPr>
      <w:r>
        <w:rPr>
          <w:rFonts w:ascii="Arial" w:hAnsi="Arial" w:eastAsia="Arial"/>
          <w:color w:val="162019"/>
          <w:sz w:val="20"/>
        </w:rPr>
        <w:t>VERIDIA Phase 3B Completion Report — ALPHA Adversarial Hardening, 30 août 2026.</w:t>
      </w:r>
    </w:p>
    <w:p>
      <w:pPr>
        <w:numPr>
          <w:ilvl w:val="0"/>
          <w:numId w:val="10"/>
        </w:numPr>
        <w:spacing w:after="80" w:line="283" w:lineRule="auto"/>
      </w:pPr>
      <w:r>
        <w:rPr>
          <w:rFonts w:ascii="Arial" w:hAnsi="Arial" w:eastAsia="Arial"/>
          <w:color w:val="162019"/>
          <w:sz w:val="20"/>
        </w:rPr>
        <w:t>VERIDIA Phase 3B.1 Dependency Audit Inventory et Phase 3B.2 Toolchain Risk Review, 30 août 2026.</w:t>
      </w:r>
    </w:p>
    <w:p>
      <w:pPr>
        <w:numPr>
          <w:ilvl w:val="0"/>
          <w:numId w:val="10"/>
        </w:numPr>
        <w:spacing w:after="80" w:line="283" w:lineRule="auto"/>
      </w:pPr>
      <w:r>
        <w:rPr>
          <w:rFonts w:ascii="Arial" w:hAnsi="Arial" w:eastAsia="Arial"/>
          <w:color w:val="162019"/>
          <w:sz w:val="20"/>
        </w:rPr>
        <w:t>Contenu publié du site Pacturion — Infrastructure for verifiable commitments, 8 septembre 2026.</w:t>
      </w:r>
    </w:p>
    <w:p>
      <w:pPr>
        <w:pStyle w:val="Heading2"/>
      </w:pPr>
      <w:r>
        <w:t>Documents manquants à intégrer</w:t>
      </w:r>
    </w:p>
    <w:p>
      <w:pPr>
        <w:numPr>
          <w:ilvl w:val="0"/>
          <w:numId w:val="10"/>
        </w:numPr>
        <w:spacing w:after="80" w:line="283" w:lineRule="auto"/>
      </w:pPr>
      <w:r>
        <w:rPr>
          <w:rFonts w:ascii="Arial" w:hAnsi="Arial" w:eastAsia="Arial"/>
          <w:color w:val="162019"/>
          <w:sz w:val="20"/>
        </w:rPr>
        <w:t>Rapport complet Phase 3.E Human Pilot avec protocole, participants, scénarios, écarts et conclusion.</w:t>
      </w:r>
    </w:p>
    <w:p>
      <w:pPr>
        <w:numPr>
          <w:ilvl w:val="0"/>
          <w:numId w:val="10"/>
        </w:numPr>
        <w:spacing w:after="80" w:line="283" w:lineRule="auto"/>
      </w:pPr>
      <w:r>
        <w:rPr>
          <w:rFonts w:ascii="Arial" w:hAnsi="Arial" w:eastAsia="Arial"/>
          <w:color w:val="162019"/>
          <w:sz w:val="20"/>
        </w:rPr>
        <w:t>Release Candidate report avec commit, version, build, résultats, risques acceptés et décision PASS.</w:t>
      </w:r>
    </w:p>
    <w:p>
      <w:pPr>
        <w:numPr>
          <w:ilvl w:val="0"/>
          <w:numId w:val="10"/>
        </w:numPr>
        <w:spacing w:after="80" w:line="283" w:lineRule="auto"/>
      </w:pPr>
      <w:r>
        <w:rPr>
          <w:rFonts w:ascii="Arial" w:hAnsi="Arial" w:eastAsia="Arial"/>
          <w:color w:val="162019"/>
          <w:sz w:val="20"/>
        </w:rPr>
        <w:t>Registre Base Sepolia : adresses, transactions, blocs, bytecodes, rôles et liens d’explorateur.</w:t>
      </w:r>
    </w:p>
    <w:p>
      <w:pPr>
        <w:numPr>
          <w:ilvl w:val="0"/>
          <w:numId w:val="10"/>
        </w:numPr>
        <w:spacing w:after="80" w:line="283" w:lineRule="auto"/>
      </w:pPr>
      <w:r>
        <w:rPr>
          <w:rFonts w:ascii="Arial" w:hAnsi="Arial" w:eastAsia="Arial"/>
          <w:color w:val="162019"/>
          <w:sz w:val="20"/>
        </w:rPr>
        <w:t>Rapport d’audit indépendant et suivi des remédiations.</w:t>
      </w:r>
    </w:p>
    <w:p>
      <w:pPr>
        <w:numPr>
          <w:ilvl w:val="0"/>
          <w:numId w:val="10"/>
        </w:numPr>
        <w:spacing w:after="80" w:line="283" w:lineRule="auto"/>
      </w:pPr>
      <w:r>
        <w:rPr>
          <w:rFonts w:ascii="Arial" w:hAnsi="Arial" w:eastAsia="Arial"/>
          <w:color w:val="162019"/>
          <w:sz w:val="20"/>
        </w:rPr>
        <w:t>Notes de qualification juridique, contrats pilotes, RGPD et modèle opérationnel.</w:t>
      </w:r>
    </w:p>
    <w:p>
      <w:pPr>
        <w:numPr>
          <w:ilvl w:val="0"/>
          <w:numId w:val="10"/>
        </w:numPr>
        <w:spacing w:after="80" w:line="283" w:lineRule="auto"/>
      </w:pPr>
      <w:r>
        <w:rPr>
          <w:rFonts w:ascii="Arial" w:hAnsi="Arial" w:eastAsia="Arial"/>
          <w:color w:val="162019"/>
          <w:sz w:val="20"/>
        </w:rPr>
        <w:t>Evidence pack commercial : entretiens, workflows, prix, pilotes et décisions.</w:t>
      </w:r>
    </w:p>
    <w:p>
      <w:pPr>
        <w:pStyle w:val="Heading2"/>
      </w:pPr>
      <w:r>
        <w:t>Références externes</w:t>
      </w:r>
    </w:p>
    <w:p>
      <w:pPr>
        <w:spacing w:after="100"/>
      </w:pPr>
      <w:hyperlink r:id="rId12">
        <w:r>
          <w:rPr>
            <w:color w:val="155A3E"/>
            <w:u w:val="single"/>
          </w:rPr>
          <w:t>Union européenne — Règlement (UE) 2023/1114 sur les marchés de crypto-actifs</w:t>
        </w:r>
      </w:hyperlink>
    </w:p>
    <w:p>
      <w:pPr>
        <w:spacing w:after="100"/>
      </w:pPr>
      <w:hyperlink r:id="rId14">
        <w:r>
          <w:rPr>
            <w:color w:val="155A3E"/>
            <w:u w:val="single"/>
          </w:rPr>
          <w:t>Base — informations officielles sur les réseaux Base et Base Sepolia</w:t>
        </w:r>
      </w:hyperlink>
    </w:p>
    <w:p>
      <w:pPr>
        <w:spacing w:after="100"/>
      </w:pPr>
      <w:hyperlink r:id="rId13">
        <w:r>
          <w:rPr>
            <w:color w:val="155A3E"/>
            <w:u w:val="single"/>
          </w:rPr>
          <w:t>OpenZeppelin Contracts 5.x — documentation Governance</w:t>
        </w:r>
      </w:hyperlink>
    </w:p>
    <w:p>
      <w:pPr>
        <w:spacing w:after="100"/>
      </w:pPr>
      <w:hyperlink r:id="rId16">
        <w:r>
          <w:rPr>
            <w:color w:val="155A3E"/>
            <w:u w:val="single"/>
          </w:rPr>
          <w:t>Ethereum — ERC-20</w:t>
        </w:r>
      </w:hyperlink>
    </w:p>
    <w:p>
      <w:pPr>
        <w:spacing w:after="100"/>
      </w:pPr>
      <w:hyperlink r:id="rId17">
        <w:r>
          <w:rPr>
            <w:color w:val="155A3E"/>
            <w:u w:val="single"/>
          </w:rPr>
          <w:t>Ethereum — EIP-712</w:t>
        </w:r>
      </w:hyperlink>
    </w:p>
    <w:p>
      <w:pPr>
        <w:spacing w:after="100"/>
      </w:pPr>
      <w:hyperlink r:id="rId18">
        <w:r>
          <w:rPr>
            <w:color w:val="155A3E"/>
            <w:u w:val="single"/>
          </w:rPr>
          <w:t>Ethereum — ERC-1271</w:t>
        </w:r>
      </w:hyperlink>
    </w:p>
    <w:p>
      <w:pPr>
        <w:spacing w:before="100" w:after="180" w:line="283" w:lineRule="auto"/>
        <w:ind w:left="227" w:right="170"/>
        <w:shd w:fill="EDF3EF"/>
        <w:pBdr>
          <w:left w:val="single" w:sz="18" w:space="8" w:color="155A3E"/>
        </w:pBdr>
      </w:pPr>
      <w:r>
        <w:rPr>
          <w:rFonts w:ascii="Arial" w:hAnsi="Arial" w:eastAsia="Arial"/>
          <w:b/>
          <w:color w:val="155A3E"/>
          <w:sz w:val="16"/>
        </w:rPr>
        <w:t>CONCLUSION</w:t>
        <w:br/>
      </w:r>
      <w:r>
        <w:rPr>
          <w:rFonts w:ascii="Arial" w:hAnsi="Arial" w:eastAsia="Arial"/>
          <w:b w:val="0"/>
          <w:color w:val="162019"/>
          <w:sz w:val="20"/>
        </w:rPr>
        <w:t>Pacturion dispose d’un positionnement cohérent et d’un socle technique interne avancé. Le prochain niveau de crédibilité ne viendra pas d’une nouvelle couche de fonctionnalités, mais de trois preuves convergentes : une revue indépendante, un dossier technique reproductible et un cas d’usage pour lequel un décideur accepte de payer.</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jc w:val="right"/>
    </w:pPr>
    <w:r>
      <w:rPr>
        <w:rFonts w:ascii="Arial" w:hAnsi="Arial" w:eastAsia="Arial"/>
        <w:color w:val="66736B"/>
        <w:sz w:val="14"/>
      </w:rPr>
      <w:t>PACTURION — DOCUMENT DE RÉFÉRENCE V1.0</w:t>
    </w:r>
    <w:r>
      <w:rPr>
        <w:rFonts w:ascii="Arial" w:hAnsi="Arial" w:eastAsia="Arial"/>
        <w:b/>
        <w:color w:val="C6A15B"/>
        <w:sz w:val="14"/>
      </w:rPr>
      <w:tab/>
      <w:t xml:space="preserve">DOCUMENT DE TRAVAIL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DOCUMENT DE RÉFÉRENCE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Document de référence V1.0</dc:title>
  <dc:subject>Vision, infrastructure, validation, sécurité, marché et roadmap</dc:subject>
  <dc:creator>Pacturion</dc:creator>
  <cp:keywords>Pacturion, VERIDIA Protocol, engagements vérifiables, ALPHA, BCS, Base</cp:keywords>
  <dc:description>Document de travail contrôlé — ne constitue pas une offre au public.</dc:description>
  <cp:lastModifiedBy/>
  <cp:revision>1</cp:revision>
  <dcterms:created xsi:type="dcterms:W3CDTF">2013-12-23T23:15:00Z</dcterms:created>
  <dcterms:modified xsi:type="dcterms:W3CDTF">2013-12-23T23:15:00Z</dcterms:modified>
  <cp:category/>
</cp:coreProperties>
</file>