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80"/>
        <w:jc w:val="center"/>
      </w:pPr>
      <w:r>
        <w:drawing>
          <wp:inline xmlns:a="http://schemas.openxmlformats.org/drawingml/2006/main" xmlns:pic="http://schemas.openxmlformats.org/drawingml/2006/picture">
            <wp:extent cx="6120000" cy="1036190"/>
            <wp:docPr id="1" name="Picture 1" descr="Bannière Pacturion dorée sur fond sombr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80"/>
      </w:pPr>
      <w:r>
        <w:rPr>
          <w:rFonts w:ascii="Arial" w:hAnsi="Arial" w:eastAsia="Arial"/>
          <w:b/>
          <w:color w:val="06110B"/>
          <w:sz w:val="45"/>
        </w:rPr>
        <w:t>DOSSIER D’ARCHITECTURE TECHNIQUE</w:t>
      </w:r>
    </w:p>
    <w:p>
      <w:pPr>
        <w:spacing w:after="160"/>
      </w:pPr>
      <w:r>
        <w:rPr>
          <w:rFonts w:ascii="Arial" w:hAnsi="Arial" w:eastAsia="Arial"/>
          <w:color w:val="155A3E"/>
          <w:sz w:val="32"/>
        </w:rPr>
        <w:t>Pacturion et VERIDIA Protocol — V1.0</w:t>
      </w:r>
    </w:p>
    <w:tbl>
      <w:tblPr>
        <w:tblStyle w:val="TableGrid"/>
        <w:tblW w:type="dxa" w:w="9500"/>
        <w:jc w:val="left"/>
        <w:tblLayout w:type="fixed"/>
        <w:tblLook w:firstColumn="1" w:firstRow="1" w:lastColumn="0" w:lastRow="0" w:noHBand="0" w:noVBand="1" w:val="04A0"/>
        <w:tblInd w:w="120" w:type="dxa"/>
      </w:tblPr>
      <w:tblGrid>
        <w:gridCol w:w="1300"/>
        <w:gridCol w:w="2100"/>
        <w:gridCol w:w="3900"/>
        <w:gridCol w:w="22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8 septembre 2026</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ARCHITECTURE DE RÉFÉRENCE — TESTNET</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Pacturion</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FINALITÉ</w:t>
        <w:br/>
      </w:r>
      <w:r>
        <w:rPr>
          <w:rFonts w:ascii="Arial" w:hAnsi="Arial" w:eastAsia="Arial"/>
          <w:b w:val="0"/>
          <w:color w:val="162019"/>
          <w:sz w:val="20"/>
        </w:rPr>
        <w:t>Décrire les composants, les flux, les frontières de confiance et les gates requises avant tout pilote externe.</w:t>
      </w:r>
    </w:p>
    <w:p>
      <w:pPr>
        <w:spacing w:before="100" w:after="180" w:line="283" w:lineRule="auto"/>
        <w:ind w:left="227" w:right="170"/>
        <w:shd w:fill="F6F0E3"/>
        <w:pBdr>
          <w:left w:val="single" w:sz="18" w:space="8" w:color="C6A15B"/>
        </w:pBdr>
      </w:pPr>
      <w:r>
        <w:rPr>
          <w:rFonts w:ascii="Arial" w:hAnsi="Arial" w:eastAsia="Arial"/>
          <w:b/>
          <w:color w:val="C6A15B"/>
          <w:sz w:val="16"/>
        </w:rPr>
        <w:t>LIMITE</w:t>
        <w:br/>
      </w:r>
      <w:r>
        <w:rPr>
          <w:rFonts w:ascii="Arial" w:hAnsi="Arial" w:eastAsia="Arial"/>
          <w:b w:val="0"/>
          <w:color w:val="162019"/>
          <w:sz w:val="20"/>
        </w:rPr>
        <w:t>Le document décrit une cible et des résultats internes. Il ne prouve ni un déploiement production, ni un audit indépendant.</w:t>
      </w:r>
    </w:p>
    <w:p>
      <w:r>
        <w:br w:type="page"/>
      </w:r>
    </w:p>
    <w:p>
      <w:pPr>
        <w:keepNext/>
        <w:spacing w:before="440" w:after="100"/>
      </w:pPr>
      <w:r>
        <w:rPr>
          <w:rFonts w:ascii="Arial" w:hAnsi="Arial" w:eastAsia="Arial"/>
          <w:b/>
          <w:color w:val="C6A15B"/>
          <w:sz w:val="16"/>
        </w:rPr>
        <w:t>CHAPITRE 00</w:t>
      </w:r>
    </w:p>
    <w:p>
      <w:pPr>
        <w:pStyle w:val="Heading1"/>
        <w:pageBreakBefore w:val="0"/>
      </w:pPr>
      <w:r>
        <w:t>Contrôle et lecture</w:t>
      </w:r>
    </w:p>
    <w:tbl>
      <w:tblPr>
        <w:tblStyle w:val="TableGrid"/>
        <w:tblW w:type="dxa" w:w="9500"/>
        <w:jc w:val="left"/>
        <w:tblLayout w:type="fixed"/>
        <w:tblLook w:firstColumn="1" w:firstRow="1" w:lastColumn="0" w:lastRow="0" w:noHBand="0" w:noVBand="1" w:val="04A0"/>
        <w:tblInd w:w="120" w:type="dxa"/>
      </w:tblPr>
      <w:tblGrid>
        <w:gridCol w:w="3000"/>
        <w:gridCol w:w="65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Marque et couche marché</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Pacturion</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Infrastructure</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VERIDIA Protocol</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Hypothèse prioritaire</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ALPHA — nom de travail interne</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Réseau autorisé</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Base Sepolia, chain ID 84532</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Mainnet</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autorisé</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Audit indépendant</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réalisé</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Statut RC</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interne déclaré, à relier aux commits/builds/preuves</w:t>
            </w:r>
          </w:p>
        </w:tc>
      </w:tr>
    </w:tbl>
    <w:p>
      <w:pPr>
        <w:spacing w:after="40"/>
      </w:pPr>
    </w:p>
    <w:p>
      <w:pPr>
        <w:pStyle w:val="Heading2"/>
      </w:pPr>
      <w:r>
        <w:t>Règle d’interprétation</w:t>
      </w:r>
    </w:p>
    <w:p>
      <w:pPr>
        <w:spacing w:after="140" w:line="307" w:lineRule="auto"/>
      </w:pPr>
      <w:r>
        <w:rPr>
          <w:rFonts w:ascii="Arial" w:hAnsi="Arial" w:eastAsia="Arial"/>
          <w:i w:val="0"/>
          <w:color w:val="162019"/>
          <w:sz w:val="20"/>
        </w:rPr>
        <w:t>Les cases « À renseigner » sont des preuves manquantes, pas des détails administratifs. Une architecture sans version, adresse, propriétaire et résultat de test réconciliés n’est pas reproductible.</w:t>
      </w:r>
    </w:p>
    <w:p>
      <w:r>
        <w:br w:type="page"/>
      </w:r>
    </w:p>
    <w:p>
      <w:pPr>
        <w:keepNext/>
        <w:spacing w:before="440" w:after="100"/>
      </w:pPr>
      <w:r>
        <w:rPr>
          <w:rFonts w:ascii="Arial" w:hAnsi="Arial" w:eastAsia="Arial"/>
          <w:b/>
          <w:color w:val="C6A15B"/>
          <w:sz w:val="16"/>
        </w:rPr>
        <w:t>CHAPITRE 01</w:t>
      </w:r>
    </w:p>
    <w:p>
      <w:pPr>
        <w:pStyle w:val="Heading1"/>
        <w:pageBreakBefore w:val="0"/>
      </w:pPr>
      <w:r>
        <w:t>Principes et périmètre</w:t>
      </w:r>
    </w:p>
    <w:p>
      <w:pPr>
        <w:numPr>
          <w:ilvl w:val="0"/>
          <w:numId w:val="16"/>
        </w:numPr>
        <w:spacing w:after="80" w:line="283" w:lineRule="auto"/>
      </w:pPr>
      <w:r>
        <w:rPr>
          <w:rFonts w:ascii="Arial" w:hAnsi="Arial" w:eastAsia="Arial"/>
          <w:color w:val="162019"/>
          <w:sz w:val="20"/>
        </w:rPr>
        <w:t>expliciter l’engagement avant exécution ;</w:t>
      </w:r>
    </w:p>
    <w:p>
      <w:pPr>
        <w:numPr>
          <w:ilvl w:val="0"/>
          <w:numId w:val="16"/>
        </w:numPr>
        <w:spacing w:after="80" w:line="283" w:lineRule="auto"/>
      </w:pPr>
      <w:r>
        <w:rPr>
          <w:rFonts w:ascii="Arial" w:hAnsi="Arial" w:eastAsia="Arial"/>
          <w:color w:val="162019"/>
          <w:sz w:val="20"/>
        </w:rPr>
        <w:t>n’accepter que des sources de preuve autorisées et versionnées ;</w:t>
      </w:r>
    </w:p>
    <w:p>
      <w:pPr>
        <w:numPr>
          <w:ilvl w:val="0"/>
          <w:numId w:val="16"/>
        </w:numPr>
        <w:spacing w:after="80" w:line="283" w:lineRule="auto"/>
      </w:pPr>
      <w:r>
        <w:rPr>
          <w:rFonts w:ascii="Arial" w:hAnsi="Arial" w:eastAsia="Arial"/>
          <w:color w:val="162019"/>
          <w:sz w:val="20"/>
        </w:rPr>
        <w:t>séparer observation, authentification, interprétation et conséquence ;</w:t>
      </w:r>
    </w:p>
    <w:p>
      <w:pPr>
        <w:numPr>
          <w:ilvl w:val="0"/>
          <w:numId w:val="16"/>
        </w:numPr>
        <w:spacing w:after="80" w:line="283" w:lineRule="auto"/>
      </w:pPr>
      <w:r>
        <w:rPr>
          <w:rFonts w:ascii="Arial" w:hAnsi="Arial" w:eastAsia="Arial"/>
          <w:color w:val="162019"/>
          <w:sz w:val="20"/>
        </w:rPr>
        <w:t>échouer fermé vers UNDETERMINED lorsque la preuve est insuffisante ;</w:t>
      </w:r>
    </w:p>
    <w:p>
      <w:pPr>
        <w:numPr>
          <w:ilvl w:val="0"/>
          <w:numId w:val="16"/>
        </w:numPr>
        <w:spacing w:after="80" w:line="283" w:lineRule="auto"/>
      </w:pPr>
      <w:r>
        <w:rPr>
          <w:rFonts w:ascii="Arial" w:hAnsi="Arial" w:eastAsia="Arial"/>
          <w:color w:val="162019"/>
          <w:sz w:val="20"/>
        </w:rPr>
        <w:t>borner rôles, délais, caps, fonds et pouvoirs ;</w:t>
      </w:r>
    </w:p>
    <w:p>
      <w:pPr>
        <w:numPr>
          <w:ilvl w:val="0"/>
          <w:numId w:val="16"/>
        </w:numPr>
        <w:spacing w:after="80" w:line="283" w:lineRule="auto"/>
      </w:pPr>
      <w:r>
        <w:rPr>
          <w:rFonts w:ascii="Arial" w:hAnsi="Arial" w:eastAsia="Arial"/>
          <w:color w:val="162019"/>
          <w:sz w:val="20"/>
        </w:rPr>
        <w:t>préserver un chemin d’audit reproductible ;</w:t>
      </w:r>
    </w:p>
    <w:p>
      <w:pPr>
        <w:numPr>
          <w:ilvl w:val="0"/>
          <w:numId w:val="16"/>
        </w:numPr>
        <w:spacing w:after="80" w:line="283" w:lineRule="auto"/>
      </w:pPr>
      <w:r>
        <w:rPr>
          <w:rFonts w:ascii="Arial" w:hAnsi="Arial" w:eastAsia="Arial"/>
          <w:color w:val="162019"/>
          <w:sz w:val="20"/>
        </w:rPr>
        <w:t>refuser la blockchain lorsqu’une architecture plus simple résout mieux le problème.</w:t>
      </w:r>
    </w:p>
    <w:p>
      <w:pPr>
        <w:pStyle w:val="Heading2"/>
      </w:pPr>
      <w:r>
        <w:t>Hors périmètre V1.0</w:t>
      </w:r>
    </w:p>
    <w:p>
      <w:pPr>
        <w:spacing w:after="140" w:line="307" w:lineRule="auto"/>
      </w:pPr>
      <w:r>
        <w:rPr>
          <w:rFonts w:ascii="Arial" w:hAnsi="Arial" w:eastAsia="Arial"/>
          <w:i w:val="0"/>
          <w:color w:val="162019"/>
          <w:sz w:val="20"/>
        </w:rPr>
        <w:t>Mainnet, fonds réels, token obligatoire, rendement, taxe de transfert, décision juridique automatisée, preuve de vérité universelle, données personnelles on-chain et promesse de disponibilité production.</w:t>
      </w:r>
    </w:p>
    <w:p>
      <w:r>
        <w:br w:type="page"/>
      </w:r>
    </w:p>
    <w:p>
      <w:pPr>
        <w:keepNext/>
        <w:spacing w:before="440" w:after="100"/>
      </w:pPr>
      <w:r>
        <w:rPr>
          <w:rFonts w:ascii="Arial" w:hAnsi="Arial" w:eastAsia="Arial"/>
          <w:b/>
          <w:color w:val="C6A15B"/>
          <w:sz w:val="16"/>
        </w:rPr>
        <w:t>CHAPITRE 02</w:t>
      </w:r>
    </w:p>
    <w:p>
      <w:pPr>
        <w:pStyle w:val="Heading1"/>
        <w:pageBreakBefore w:val="0"/>
      </w:pPr>
      <w:r>
        <w:t>Vue logique du système</w:t>
      </w:r>
    </w:p>
    <w:tbl>
      <w:tblPr>
        <w:tblStyle w:val="TableGrid"/>
        <w:tblW w:type="dxa" w:w="9500"/>
        <w:jc w:val="left"/>
        <w:tblLayout w:type="fixed"/>
        <w:tblLook w:firstColumn="1" w:firstRow="1" w:lastColumn="0" w:lastRow="0" w:noHBand="0" w:noVBand="1" w:val="04A0"/>
        <w:tblInd w:w="120" w:type="dxa"/>
      </w:tblPr>
      <w:tblGrid>
        <w:gridCol w:w="2300"/>
        <w:gridCol w:w="4500"/>
        <w:gridCol w:w="2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Couche</w:t>
            </w:r>
          </w:p>
        </w:tc>
        <w:tc>
          <w:tcPr>
            <w:tcW w:type="dxa" w:w="4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Responsabilité</w:t>
            </w:r>
          </w:p>
        </w:tc>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Sortie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Interface Pacturion</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Cadrage, création, suivi et explication</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Demande validée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API et identité</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Session, scopes, nonces, contrôle d’entrée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Commande autorisée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Orchestrateur</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États, idempotence et coordination</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Workflow versionné</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Collecteurs</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Observation de sources permises</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Éléments signés</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Proof / Trust Engine</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Normalisation, corrélation et politique</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Classification explicable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Indexer</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État canonique, confirmations et reorgs</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Vue reconstruite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Contrats EVM</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Droits, événements, caps et conséquences</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Événements immuables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Persistance</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Transactions, journaux et preuves</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Audit trail</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Opérations</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Clés, monitoring, incidents et changements</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Contrôle opérationnel</w:t>
            </w:r>
          </w:p>
        </w:tc>
      </w:tr>
    </w:tbl>
    <w:p>
      <w:pPr>
        <w:spacing w:after="40"/>
      </w:pPr>
    </w:p>
    <w:p>
      <w:pPr>
        <w:pStyle w:val="Heading2"/>
      </w:pPr>
      <w:r>
        <w:t>Flux nominal</w:t>
      </w:r>
    </w:p>
    <w:p>
      <w:pPr>
        <w:numPr>
          <w:ilvl w:val="0"/>
          <w:numId w:val="17"/>
        </w:numPr>
        <w:spacing w:after="80" w:line="283" w:lineRule="auto"/>
      </w:pPr>
      <w:r>
        <w:rPr>
          <w:rFonts w:ascii="Arial" w:hAnsi="Arial" w:eastAsia="Arial"/>
          <w:color w:val="162019"/>
          <w:sz w:val="20"/>
        </w:rPr>
        <w:t>définir l’engagement, les acteurs et l’échéance ;</w:t>
      </w:r>
    </w:p>
    <w:p>
      <w:pPr>
        <w:numPr>
          <w:ilvl w:val="0"/>
          <w:numId w:val="17"/>
        </w:numPr>
        <w:spacing w:after="80" w:line="283" w:lineRule="auto"/>
      </w:pPr>
      <w:r>
        <w:rPr>
          <w:rFonts w:ascii="Arial" w:hAnsi="Arial" w:eastAsia="Arial"/>
          <w:color w:val="162019"/>
          <w:sz w:val="20"/>
        </w:rPr>
        <w:t>geler la version de politique et les sources ;</w:t>
      </w:r>
    </w:p>
    <w:p>
      <w:pPr>
        <w:numPr>
          <w:ilvl w:val="0"/>
          <w:numId w:val="17"/>
        </w:numPr>
        <w:spacing w:after="80" w:line="283" w:lineRule="auto"/>
      </w:pPr>
      <w:r>
        <w:rPr>
          <w:rFonts w:ascii="Arial" w:hAnsi="Arial" w:eastAsia="Arial"/>
          <w:color w:val="162019"/>
          <w:sz w:val="20"/>
        </w:rPr>
        <w:t>obtenir l’acceptation des parties ;</w:t>
      </w:r>
    </w:p>
    <w:p>
      <w:pPr>
        <w:numPr>
          <w:ilvl w:val="0"/>
          <w:numId w:val="17"/>
        </w:numPr>
        <w:spacing w:after="80" w:line="283" w:lineRule="auto"/>
      </w:pPr>
      <w:r>
        <w:rPr>
          <w:rFonts w:ascii="Arial" w:hAnsi="Arial" w:eastAsia="Arial"/>
          <w:color w:val="162019"/>
          <w:sz w:val="20"/>
        </w:rPr>
        <w:t>observer puis authentifier les éléments ;</w:t>
      </w:r>
    </w:p>
    <w:p>
      <w:pPr>
        <w:numPr>
          <w:ilvl w:val="0"/>
          <w:numId w:val="17"/>
        </w:numPr>
        <w:spacing w:after="80" w:line="283" w:lineRule="auto"/>
      </w:pPr>
      <w:r>
        <w:rPr>
          <w:rFonts w:ascii="Arial" w:hAnsi="Arial" w:eastAsia="Arial"/>
          <w:color w:val="162019"/>
          <w:sz w:val="20"/>
        </w:rPr>
        <w:t>attendre la finalité définie ;</w:t>
      </w:r>
    </w:p>
    <w:p>
      <w:pPr>
        <w:numPr>
          <w:ilvl w:val="0"/>
          <w:numId w:val="17"/>
        </w:numPr>
        <w:spacing w:after="80" w:line="283" w:lineRule="auto"/>
      </w:pPr>
      <w:r>
        <w:rPr>
          <w:rFonts w:ascii="Arial" w:hAnsi="Arial" w:eastAsia="Arial"/>
          <w:color w:val="162019"/>
          <w:sz w:val="20"/>
        </w:rPr>
        <w:t>classifier sans dépasser la preuve ;</w:t>
      </w:r>
    </w:p>
    <w:p>
      <w:pPr>
        <w:numPr>
          <w:ilvl w:val="0"/>
          <w:numId w:val="17"/>
        </w:numPr>
        <w:spacing w:after="80" w:line="283" w:lineRule="auto"/>
      </w:pPr>
      <w:r>
        <w:rPr>
          <w:rFonts w:ascii="Arial" w:hAnsi="Arial" w:eastAsia="Arial"/>
          <w:color w:val="162019"/>
          <w:sz w:val="20"/>
        </w:rPr>
        <w:t>enregistrer la décision et ses motifs ;</w:t>
      </w:r>
    </w:p>
    <w:p>
      <w:pPr>
        <w:numPr>
          <w:ilvl w:val="0"/>
          <w:numId w:val="17"/>
        </w:numPr>
        <w:spacing w:after="80" w:line="283" w:lineRule="auto"/>
      </w:pPr>
      <w:r>
        <w:rPr>
          <w:rFonts w:ascii="Arial" w:hAnsi="Arial" w:eastAsia="Arial"/>
          <w:color w:val="162019"/>
          <w:sz w:val="20"/>
        </w:rPr>
        <w:t>exporter le certificat et le dossier de preuve.</w:t>
      </w:r>
    </w:p>
    <w:p>
      <w:r>
        <w:br w:type="page"/>
      </w:r>
    </w:p>
    <w:p>
      <w:pPr>
        <w:keepNext/>
        <w:spacing w:before="440" w:after="100"/>
      </w:pPr>
      <w:r>
        <w:rPr>
          <w:rFonts w:ascii="Arial" w:hAnsi="Arial" w:eastAsia="Arial"/>
          <w:b/>
          <w:color w:val="C6A15B"/>
          <w:sz w:val="16"/>
        </w:rPr>
        <w:t>CHAPITRE 03</w:t>
      </w:r>
    </w:p>
    <w:p>
      <w:pPr>
        <w:pStyle w:val="Heading1"/>
        <w:pageBreakBefore w:val="0"/>
      </w:pPr>
      <w:r>
        <w:t>Modèle de domaine et états</w:t>
      </w:r>
    </w:p>
    <w:tbl>
      <w:tblPr>
        <w:tblStyle w:val="TableGrid"/>
        <w:tblW w:type="dxa" w:w="9500"/>
        <w:jc w:val="left"/>
        <w:tblLayout w:type="fixed"/>
        <w:tblLook w:firstColumn="1" w:firstRow="1" w:lastColumn="0" w:lastRow="0" w:noHBand="0" w:noVBand="1" w:val="04A0"/>
        <w:tblInd w:w="120" w:type="dxa"/>
      </w:tblPr>
      <w:tblGrid>
        <w:gridCol w:w="2100"/>
        <w:gridCol w:w="3900"/>
        <w:gridCol w:w="35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Objet</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Identité minimale</w:t>
            </w:r>
          </w:p>
        </w:tc>
        <w:tc>
          <w:tcPr>
            <w:tcW w:type="dxa" w:w="3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Invariants</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Engagement</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commitmentId, version, parties</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Immuable après acceptation</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Politique</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policyId, hash, validité</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 explicitement liée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proofId, source, horodatage, hash</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Origine et schéma vérifiables</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decisionId, état, motifs</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 dépasse pas la politique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Événement</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tx/log index ou eventId</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Ordre et déduplication</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Incident</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incidentId, sévérité, statut</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Traçabilité de bout en bout</w:t>
            </w:r>
          </w:p>
        </w:tc>
      </w:tr>
    </w:tbl>
    <w:p>
      <w:pPr>
        <w:spacing w:after="40"/>
      </w:pPr>
    </w:p>
    <w:p>
      <w:pPr>
        <w:pStyle w:val="Heading2"/>
      </w:pPr>
      <w:r>
        <w:t>Machine d’état ALPHA</w:t>
      </w:r>
    </w:p>
    <w:tbl>
      <w:tblPr>
        <w:tblStyle w:val="TableGrid"/>
        <w:tblW w:type="dxa" w:w="9500"/>
        <w:jc w:val="left"/>
        <w:tblLayout w:type="fixed"/>
        <w:tblLook w:firstColumn="1" w:firstRow="1" w:lastColumn="0" w:lastRow="0" w:noHBand="0" w:noVBand="1" w:val="04A0"/>
        <w:tblInd w:w="120" w:type="dxa"/>
      </w:tblPr>
      <w:tblGrid>
        <w:gridCol w:w="2200"/>
        <w:gridCol w:w="4700"/>
        <w:gridCol w:w="26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Condition</w:t>
            </w:r>
          </w:p>
        </w:tc>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Suite autorisée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DRAFT</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Paramètres incomplets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Modifier ou abandonner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ACCEPTED</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Toutes parties acceptent</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Activer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ACTIVE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Fenêtre ouverte</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Recevoir preuves</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PENDING_FINALITY</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Événement observé</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Attendre confirmations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SUCCESS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 canonique conforme</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Clôturer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EXCLUDED</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Exception explicite</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Clôturer sans faute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REQUESTER_FAULT</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Cause demandeur démontrée</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Clôturer sans faute fournisseur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PROVIDER_FAULT</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 négative et quorum</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Conséquence bornée simulée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UNDETERMINED</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 insuffisante ou conflit</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Revue humaine / arrêt</w:t>
            </w:r>
          </w:p>
        </w:tc>
      </w:tr>
    </w:tbl>
    <w:p>
      <w:pPr>
        <w:spacing w:after="40"/>
      </w:pPr>
    </w:p>
    <w:p>
      <w:r>
        <w:br w:type="page"/>
      </w:r>
    </w:p>
    <w:p>
      <w:pPr>
        <w:keepNext/>
        <w:spacing w:before="440" w:after="100"/>
      </w:pPr>
      <w:r>
        <w:rPr>
          <w:rFonts w:ascii="Arial" w:hAnsi="Arial" w:eastAsia="Arial"/>
          <w:b/>
          <w:color w:val="C6A15B"/>
          <w:sz w:val="16"/>
        </w:rPr>
        <w:t>CHAPITRE 04</w:t>
      </w:r>
    </w:p>
    <w:p>
      <w:pPr>
        <w:pStyle w:val="Heading1"/>
        <w:pageBreakBefore w:val="0"/>
      </w:pPr>
      <w:r>
        <w:t>Frontières de confiance</w:t>
      </w:r>
    </w:p>
    <w:tbl>
      <w:tblPr>
        <w:tblStyle w:val="TableGrid"/>
        <w:tblW w:type="dxa" w:w="9500"/>
        <w:jc w:val="left"/>
        <w:tblLayout w:type="fixed"/>
        <w:tblLook w:firstColumn="1" w:firstRow="1" w:lastColumn="0" w:lastRow="0" w:noHBand="0" w:noVBand="1" w:val="04A0"/>
        <w:tblInd w:w="120" w:type="dxa"/>
      </w:tblPr>
      <w:tblGrid>
        <w:gridCol w:w="2300"/>
        <w:gridCol w:w="3600"/>
        <w:gridCol w:w="36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Acteur/composant</w:t>
            </w:r>
          </w:p>
        </w:tc>
        <w:tc>
          <w:tcPr>
            <w:tcW w:type="dxa" w:w="3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Ce qui est admis</w:t>
            </w:r>
          </w:p>
        </w:tc>
        <w:tc>
          <w:tcPr>
            <w:tcW w:type="dxa" w:w="36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Ce qui ne l’est pas</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Chaîne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Ordre, inclusion, événements</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Vérité d’une donnée externe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Collecteur</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Authentifie son observation</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Neutralité ou disponibilité absolue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Moteur</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Applique schéma et politique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Résolution de faits subjectifs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Indexer</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Reconstruit après finalité</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Absence définitive avant finalité</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Gouvernance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Change paramètres autorisés</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Réécriture d’un engagement accepté</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Opérateur</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Exécute runbooks et revues</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Contournement silencieux des gates</w:t>
            </w:r>
          </w:p>
        </w:tc>
      </w:tr>
    </w:tbl>
    <w:p>
      <w:pPr>
        <w:spacing w:after="40"/>
      </w:pPr>
    </w:p>
    <w:p>
      <w:pPr>
        <w:pStyle w:val="Heading2"/>
      </w:pPr>
      <w:r>
        <w:t>Menaces prioritaires</w:t>
      </w:r>
    </w:p>
    <w:p>
      <w:pPr>
        <w:numPr>
          <w:ilvl w:val="0"/>
          <w:numId w:val="18"/>
        </w:numPr>
        <w:spacing w:after="80" w:line="283" w:lineRule="auto"/>
      </w:pPr>
      <w:r>
        <w:rPr>
          <w:rFonts w:ascii="Arial" w:hAnsi="Arial" w:eastAsia="Arial"/>
          <w:color w:val="162019"/>
          <w:sz w:val="20"/>
        </w:rPr>
        <w:t>rejeu et double traitement ;</w:t>
      </w:r>
    </w:p>
    <w:p>
      <w:pPr>
        <w:numPr>
          <w:ilvl w:val="0"/>
          <w:numId w:val="18"/>
        </w:numPr>
        <w:spacing w:after="80" w:line="283" w:lineRule="auto"/>
      </w:pPr>
      <w:r>
        <w:rPr>
          <w:rFonts w:ascii="Arial" w:hAnsi="Arial" w:eastAsia="Arial"/>
          <w:color w:val="162019"/>
          <w:sz w:val="20"/>
        </w:rPr>
        <w:t>preuve périmée, contradictoire ou mal liée ;</w:t>
      </w:r>
    </w:p>
    <w:p>
      <w:pPr>
        <w:numPr>
          <w:ilvl w:val="0"/>
          <w:numId w:val="18"/>
        </w:numPr>
        <w:spacing w:after="80" w:line="283" w:lineRule="auto"/>
      </w:pPr>
      <w:r>
        <w:rPr>
          <w:rFonts w:ascii="Arial" w:hAnsi="Arial" w:eastAsia="Arial"/>
          <w:color w:val="162019"/>
          <w:sz w:val="20"/>
        </w:rPr>
        <w:t>source compromise ou collusion ;</w:t>
      </w:r>
    </w:p>
    <w:p>
      <w:pPr>
        <w:numPr>
          <w:ilvl w:val="0"/>
          <w:numId w:val="18"/>
        </w:numPr>
        <w:spacing w:after="80" w:line="283" w:lineRule="auto"/>
      </w:pPr>
      <w:r>
        <w:rPr>
          <w:rFonts w:ascii="Arial" w:hAnsi="Arial" w:eastAsia="Arial"/>
          <w:color w:val="162019"/>
          <w:sz w:val="20"/>
        </w:rPr>
        <w:t>reorg et fausse absence ;</w:t>
      </w:r>
    </w:p>
    <w:p>
      <w:pPr>
        <w:numPr>
          <w:ilvl w:val="0"/>
          <w:numId w:val="18"/>
        </w:numPr>
        <w:spacing w:after="80" w:line="283" w:lineRule="auto"/>
      </w:pPr>
      <w:r>
        <w:rPr>
          <w:rFonts w:ascii="Arial" w:hAnsi="Arial" w:eastAsia="Arial"/>
          <w:color w:val="162019"/>
          <w:sz w:val="20"/>
        </w:rPr>
        <w:t>escalade de privilège ;</w:t>
      </w:r>
    </w:p>
    <w:p>
      <w:pPr>
        <w:numPr>
          <w:ilvl w:val="0"/>
          <w:numId w:val="18"/>
        </w:numPr>
        <w:spacing w:after="80" w:line="283" w:lineRule="auto"/>
      </w:pPr>
      <w:r>
        <w:rPr>
          <w:rFonts w:ascii="Arial" w:hAnsi="Arial" w:eastAsia="Arial"/>
          <w:color w:val="162019"/>
          <w:sz w:val="20"/>
        </w:rPr>
        <w:t>mauvaise configuration de cap ou deadline ;</w:t>
      </w:r>
    </w:p>
    <w:p>
      <w:pPr>
        <w:numPr>
          <w:ilvl w:val="0"/>
          <w:numId w:val="18"/>
        </w:numPr>
        <w:spacing w:after="80" w:line="283" w:lineRule="auto"/>
      </w:pPr>
      <w:r>
        <w:rPr>
          <w:rFonts w:ascii="Arial" w:hAnsi="Arial" w:eastAsia="Arial"/>
          <w:color w:val="162019"/>
          <w:sz w:val="20"/>
        </w:rPr>
        <w:t>fuite de secret ou donnée personnelle ;</w:t>
      </w:r>
    </w:p>
    <w:p>
      <w:pPr>
        <w:numPr>
          <w:ilvl w:val="0"/>
          <w:numId w:val="18"/>
        </w:numPr>
        <w:spacing w:after="80" w:line="283" w:lineRule="auto"/>
      </w:pPr>
      <w:r>
        <w:rPr>
          <w:rFonts w:ascii="Arial" w:hAnsi="Arial" w:eastAsia="Arial"/>
          <w:color w:val="162019"/>
          <w:sz w:val="20"/>
        </w:rPr>
        <w:t>dérive entre code, build et adresse déployée.</w:t>
      </w:r>
    </w:p>
    <w:p>
      <w:r>
        <w:br w:type="page"/>
      </w:r>
    </w:p>
    <w:p>
      <w:pPr>
        <w:keepNext/>
        <w:spacing w:before="440" w:after="100"/>
      </w:pPr>
      <w:r>
        <w:rPr>
          <w:rFonts w:ascii="Arial" w:hAnsi="Arial" w:eastAsia="Arial"/>
          <w:b/>
          <w:color w:val="C6A15B"/>
          <w:sz w:val="16"/>
        </w:rPr>
        <w:t>CHAPITRE 05</w:t>
      </w:r>
    </w:p>
    <w:p>
      <w:pPr>
        <w:pStyle w:val="Heading1"/>
        <w:pageBreakBefore w:val="0"/>
      </w:pPr>
      <w:r>
        <w:t>Contrats EVM et contrôles</w:t>
      </w:r>
    </w:p>
    <w:tbl>
      <w:tblPr>
        <w:tblStyle w:val="TableGrid"/>
        <w:tblW w:type="dxa" w:w="9500"/>
        <w:jc w:val="left"/>
        <w:tblLayout w:type="fixed"/>
        <w:tblLook w:firstColumn="1" w:firstRow="1" w:lastColumn="0" w:lastRow="0" w:noHBand="0" w:noVBand="1" w:val="04A0"/>
        <w:tblInd w:w="120" w:type="dxa"/>
      </w:tblPr>
      <w:tblGrid>
        <w:gridCol w:w="2200"/>
        <w:gridCol w:w="4000"/>
        <w:gridCol w:w="33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4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Exigence</w:t>
            </w:r>
          </w:p>
        </w:tc>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 attendue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Accès</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Rôles minimaux et séparation</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Matrice + tests négatifs</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Paramètres</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Caps et délais bornés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Tests limites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Rejeu</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Nonce/idempotence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 de répétition</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Événements</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Schémas stables et indexables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ABI + logs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Upgrade</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Désactivé ou gouverné explicitement</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Admin/timelock vérifiés</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Pause</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Portée et reprise documentées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Runbook + test</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Bytecode</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Réconcilié avec build</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Hash + metadata</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Actifs</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actif réel V1.0</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Configuration testnet</w:t>
            </w:r>
          </w:p>
        </w:tc>
      </w:tr>
    </w:tbl>
    <w:p>
      <w:pPr>
        <w:spacing w:after="40"/>
      </w:pPr>
    </w:p>
    <w:p>
      <w:pPr>
        <w:pStyle w:val="Heading2"/>
      </w:pPr>
      <w:r>
        <w:t>Registre de déploiement Base Sepolia</w:t>
      </w:r>
    </w:p>
    <w:tbl>
      <w:tblPr>
        <w:tblStyle w:val="TableGrid"/>
        <w:tblW w:type="dxa" w:w="9500"/>
        <w:jc w:val="left"/>
        <w:tblLayout w:type="fixed"/>
        <w:tblLook w:firstColumn="1" w:firstRow="1" w:lastColumn="0" w:lastRow="0" w:noHBand="0" w:noVBand="1" w:val="04A0"/>
        <w:tblInd w:w="120" w:type="dxa"/>
      </w:tblPr>
      <w:tblGrid>
        <w:gridCol w:w="1800"/>
        <w:gridCol w:w="2200"/>
        <w:gridCol w:w="1800"/>
        <w:gridCol w:w="1900"/>
        <w:gridCol w:w="18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Composant</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Adresse</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Tx / bloc</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Code/build</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 admin</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Registry</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[COMMIT/HASH]</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Policy</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[COMMIT/HASH]</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Commitment</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[COMMIT/HASH]</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Proof</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[COMMIT/HASH]</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Decision</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[COMMIT/HASH]</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r>
    </w:tbl>
    <w:p>
      <w:pPr>
        <w:spacing w:after="40"/>
      </w:pPr>
    </w:p>
    <w:p>
      <w:r>
        <w:br w:type="page"/>
      </w:r>
    </w:p>
    <w:p>
      <w:pPr>
        <w:keepNext/>
        <w:spacing w:before="440" w:after="100"/>
      </w:pPr>
      <w:r>
        <w:rPr>
          <w:rFonts w:ascii="Arial" w:hAnsi="Arial" w:eastAsia="Arial"/>
          <w:b/>
          <w:color w:val="C6A15B"/>
          <w:sz w:val="16"/>
        </w:rPr>
        <w:t>CHAPITRE 06</w:t>
      </w:r>
    </w:p>
    <w:p>
      <w:pPr>
        <w:pStyle w:val="Heading1"/>
        <w:pageBreakBefore w:val="0"/>
      </w:pPr>
      <w:r>
        <w:t>Services off-chain et persistance</w:t>
      </w:r>
    </w:p>
    <w:p>
      <w:pPr>
        <w:pStyle w:val="Heading2"/>
      </w:pPr>
      <w:r>
        <w:t>API</w:t>
      </w:r>
    </w:p>
    <w:p>
      <w:pPr>
        <w:numPr>
          <w:ilvl w:val="0"/>
          <w:numId w:val="19"/>
        </w:numPr>
        <w:spacing w:after="80" w:line="283" w:lineRule="auto"/>
      </w:pPr>
      <w:r>
        <w:rPr>
          <w:rFonts w:ascii="Arial" w:hAnsi="Arial" w:eastAsia="Arial"/>
          <w:color w:val="162019"/>
          <w:sz w:val="20"/>
        </w:rPr>
        <w:t>validation stricte des schémas ;</w:t>
      </w:r>
    </w:p>
    <w:p>
      <w:pPr>
        <w:numPr>
          <w:ilvl w:val="0"/>
          <w:numId w:val="19"/>
        </w:numPr>
        <w:spacing w:after="80" w:line="283" w:lineRule="auto"/>
      </w:pPr>
      <w:r>
        <w:rPr>
          <w:rFonts w:ascii="Arial" w:hAnsi="Arial" w:eastAsia="Arial"/>
          <w:color w:val="162019"/>
          <w:sz w:val="20"/>
        </w:rPr>
        <w:t>authentification et scopes explicites ;</w:t>
      </w:r>
    </w:p>
    <w:p>
      <w:pPr>
        <w:numPr>
          <w:ilvl w:val="0"/>
          <w:numId w:val="19"/>
        </w:numPr>
        <w:spacing w:after="80" w:line="283" w:lineRule="auto"/>
      </w:pPr>
      <w:r>
        <w:rPr>
          <w:rFonts w:ascii="Arial" w:hAnsi="Arial" w:eastAsia="Arial"/>
          <w:color w:val="162019"/>
          <w:sz w:val="20"/>
        </w:rPr>
        <w:t>nonce et idempotency key ;</w:t>
      </w:r>
    </w:p>
    <w:p>
      <w:pPr>
        <w:numPr>
          <w:ilvl w:val="0"/>
          <w:numId w:val="19"/>
        </w:numPr>
        <w:spacing w:after="80" w:line="283" w:lineRule="auto"/>
      </w:pPr>
      <w:r>
        <w:rPr>
          <w:rFonts w:ascii="Arial" w:hAnsi="Arial" w:eastAsia="Arial"/>
          <w:color w:val="162019"/>
          <w:sz w:val="20"/>
        </w:rPr>
        <w:t>rate limits et quotas ;</w:t>
      </w:r>
    </w:p>
    <w:p>
      <w:pPr>
        <w:numPr>
          <w:ilvl w:val="0"/>
          <w:numId w:val="19"/>
        </w:numPr>
        <w:spacing w:after="80" w:line="283" w:lineRule="auto"/>
      </w:pPr>
      <w:r>
        <w:rPr>
          <w:rFonts w:ascii="Arial" w:hAnsi="Arial" w:eastAsia="Arial"/>
          <w:color w:val="162019"/>
          <w:sz w:val="20"/>
        </w:rPr>
        <w:t>correlationId dans tous les journaux ;</w:t>
      </w:r>
    </w:p>
    <w:p>
      <w:pPr>
        <w:numPr>
          <w:ilvl w:val="0"/>
          <w:numId w:val="19"/>
        </w:numPr>
        <w:spacing w:after="80" w:line="283" w:lineRule="auto"/>
      </w:pPr>
      <w:r>
        <w:rPr>
          <w:rFonts w:ascii="Arial" w:hAnsi="Arial" w:eastAsia="Arial"/>
          <w:color w:val="162019"/>
          <w:sz w:val="20"/>
        </w:rPr>
        <w:t>erreurs sans fuite de secret.</w:t>
      </w:r>
    </w:p>
    <w:p>
      <w:pPr>
        <w:pStyle w:val="Heading2"/>
      </w:pPr>
      <w:r>
        <w:t>Indexer</w:t>
      </w:r>
    </w:p>
    <w:p>
      <w:pPr>
        <w:spacing w:after="140" w:line="307" w:lineRule="auto"/>
      </w:pPr>
      <w:r>
        <w:rPr>
          <w:rFonts w:ascii="Arial" w:hAnsi="Arial" w:eastAsia="Arial"/>
          <w:i w:val="0"/>
          <w:color w:val="162019"/>
          <w:sz w:val="20"/>
        </w:rPr>
        <w:t>L’indexer conserve le dernier bloc finalisé, traite les logs dans un ordre déterministe, détecte les réorganisations et rejoue depuis un checkpoint. L’absence d’événement n’est concluante qu’après la fenêtre et la finalité définies.</w:t>
      </w:r>
    </w:p>
    <w:p>
      <w:pPr>
        <w:pStyle w:val="Heading2"/>
      </w:pPr>
      <w:r>
        <w:t>Persistance</w:t>
      </w:r>
    </w:p>
    <w:tbl>
      <w:tblPr>
        <w:tblStyle w:val="TableGrid"/>
        <w:tblW w:type="dxa" w:w="9500"/>
        <w:jc w:val="left"/>
        <w:tblLayout w:type="fixed"/>
        <w:tblLook w:firstColumn="1" w:firstRow="1" w:lastColumn="0" w:lastRow="0" w:noHBand="0" w:noVBand="1" w:val="04A0"/>
        <w:tblInd w:w="120" w:type="dxa"/>
      </w:tblPr>
      <w:tblGrid>
        <w:gridCol w:w="2200"/>
        <w:gridCol w:w="4200"/>
        <w:gridCol w:w="31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Besoin</w:t>
            </w:r>
          </w:p>
        </w:tc>
        <w:tc>
          <w:tcPr>
            <w:tcW w:type="dxa" w:w="4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Mécanisme</w:t>
            </w:r>
          </w:p>
        </w:tc>
        <w:tc>
          <w:tcPr>
            <w:tcW w:type="dxa" w:w="3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Test</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Atomicité</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Transaction par transition</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Crash avant/après commit</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Idempotence</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Clé unique</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Double soumission</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Reprise</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Checkpoint versionné</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Redémarrage complet</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Audit</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Journal append-only logique</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Reconstruction</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Rétention</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Politique par classe</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Suppression contrôlée</w:t>
            </w:r>
          </w:p>
        </w:tc>
      </w:tr>
    </w:tbl>
    <w:p>
      <w:pPr>
        <w:spacing w:after="40"/>
      </w:pPr>
    </w:p>
    <w:p>
      <w:r>
        <w:br w:type="page"/>
      </w:r>
    </w:p>
    <w:p>
      <w:pPr>
        <w:keepNext/>
        <w:spacing w:before="440" w:after="100"/>
      </w:pPr>
      <w:r>
        <w:rPr>
          <w:rFonts w:ascii="Arial" w:hAnsi="Arial" w:eastAsia="Arial"/>
          <w:b/>
          <w:color w:val="C6A15B"/>
          <w:sz w:val="16"/>
        </w:rPr>
        <w:t>CHAPITRE 07</w:t>
      </w:r>
    </w:p>
    <w:p>
      <w:pPr>
        <w:pStyle w:val="Heading1"/>
        <w:pageBreakBefore w:val="0"/>
      </w:pPr>
      <w:r>
        <w:t>Sécurité, clés et opérations</w:t>
      </w:r>
    </w:p>
    <w:tbl>
      <w:tblPr>
        <w:tblStyle w:val="TableGrid"/>
        <w:tblW w:type="dxa" w:w="9500"/>
        <w:jc w:val="left"/>
        <w:tblLayout w:type="fixed"/>
        <w:tblLook w:firstColumn="1" w:firstRow="1" w:lastColumn="0" w:lastRow="0" w:noHBand="0" w:noVBand="1" w:val="04A0"/>
        <w:tblInd w:w="120" w:type="dxa"/>
      </w:tblPr>
      <w:tblGrid>
        <w:gridCol w:w="2500"/>
        <w:gridCol w:w="70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Domaine</w:t>
            </w:r>
          </w:p>
        </w:tc>
        <w:tc>
          <w:tcPr>
            <w:tcW w:type="dxa" w:w="7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Règle V1.0</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Secrets</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Jamais dans le dépôt, les logs ou les documents transmis</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Clés</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Inventaire, propriétaire, portée et rotation</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Accès</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Moindre privilège, revue avant pilote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Dépendances</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Versions figées et licences inventoriées</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Vulnérabilités</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Triage, correction, retest et preuve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Incidents</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Détection, confinement, notification, reprise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Changements</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Ticket, revue, test, version et rollback</w:t>
            </w:r>
          </w:p>
        </w:tc>
      </w:tr>
    </w:tbl>
    <w:p>
      <w:pPr>
        <w:spacing w:after="40"/>
      </w:pPr>
    </w:p>
    <w:p>
      <w:pPr>
        <w:pStyle w:val="Heading2"/>
      </w:pPr>
      <w:r>
        <w:t>Sévérités</w:t>
      </w:r>
    </w:p>
    <w:tbl>
      <w:tblPr>
        <w:tblStyle w:val="TableGrid"/>
        <w:tblW w:type="dxa" w:w="9500"/>
        <w:jc w:val="left"/>
        <w:tblLayout w:type="fixed"/>
        <w:tblLook w:firstColumn="1" w:firstRow="1" w:lastColumn="0" w:lastRow="0" w:noHBand="0" w:noVBand="1" w:val="04A0"/>
        <w:tblInd w:w="120" w:type="dxa"/>
      </w:tblPr>
      <w:tblGrid>
        <w:gridCol w:w="1800"/>
        <w:gridCol w:w="5000"/>
        <w:gridCol w:w="27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Niveau</w:t>
            </w:r>
          </w:p>
        </w:tc>
        <w:tc>
          <w:tcPr>
            <w:tcW w:type="dxa" w:w="5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Exemple</w:t>
            </w:r>
          </w:p>
        </w:tc>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SEV-1</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Secret, contrôle admin ou fonds exposés</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STOP immédiat</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SEV-2</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Intégrité ou disponibilité majeure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Suspendre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SEV-3</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Dégradation bornée</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Corriger avant gate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SEV-4</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Anomalie mineure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Backlog tracé</w:t>
            </w:r>
          </w:p>
        </w:tc>
      </w:tr>
    </w:tbl>
    <w:p>
      <w:pPr>
        <w:spacing w:after="40"/>
      </w:pPr>
    </w:p>
    <w:p>
      <w:r>
        <w:br w:type="page"/>
      </w:r>
    </w:p>
    <w:p>
      <w:pPr>
        <w:keepNext/>
        <w:spacing w:before="440" w:after="100"/>
      </w:pPr>
      <w:r>
        <w:rPr>
          <w:rFonts w:ascii="Arial" w:hAnsi="Arial" w:eastAsia="Arial"/>
          <w:b/>
          <w:color w:val="C6A15B"/>
          <w:sz w:val="16"/>
        </w:rPr>
        <w:t>CHAPITRE 08</w:t>
      </w:r>
    </w:p>
    <w:p>
      <w:pPr>
        <w:pStyle w:val="Heading1"/>
        <w:pageBreakBefore w:val="0"/>
      </w:pPr>
      <w:r>
        <w:t>Observabilité et critères de service</w:t>
      </w:r>
    </w:p>
    <w:tbl>
      <w:tblPr>
        <w:tblStyle w:val="TableGrid"/>
        <w:tblW w:type="dxa" w:w="9500"/>
        <w:jc w:val="left"/>
        <w:tblLayout w:type="fixed"/>
        <w:tblLook w:firstColumn="1" w:firstRow="1" w:lastColumn="0" w:lastRow="0" w:noHBand="0" w:noVBand="1" w:val="04A0"/>
        <w:tblInd w:w="120" w:type="dxa"/>
      </w:tblPr>
      <w:tblGrid>
        <w:gridCol w:w="2200"/>
        <w:gridCol w:w="4400"/>
        <w:gridCol w:w="29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Signal</w:t>
            </w:r>
          </w:p>
        </w:tc>
        <w:tc>
          <w:tcPr>
            <w:tcW w:type="dxa" w:w="4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Mesure</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Seuil pilote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Ingestion</w:t>
            </w:r>
          </w:p>
        </w:tc>
        <w:tc>
          <w:tcPr>
            <w:tcW w:type="dxa" w:w="4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retard de bloc / file</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FIXER]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w:t>
            </w:r>
          </w:p>
        </w:tc>
        <w:tc>
          <w:tcPr>
            <w:tcW w:type="dxa" w:w="4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latence et taux d’UNDETERMINED</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FIXER]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Erreurs</w:t>
            </w:r>
          </w:p>
        </w:tc>
        <w:tc>
          <w:tcPr>
            <w:tcW w:type="dxa" w:w="4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taux par endpoint/composant</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FIXER]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Preuves</w:t>
            </w:r>
          </w:p>
        </w:tc>
        <w:tc>
          <w:tcPr>
            <w:tcW w:type="dxa" w:w="4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rejets par cause</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FIXER]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Reorg</w:t>
            </w:r>
          </w:p>
        </w:tc>
        <w:tc>
          <w:tcPr>
            <w:tcW w:type="dxa" w:w="4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profondeur et reprises</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divergence persistante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Sécurité</w:t>
            </w:r>
          </w:p>
        </w:tc>
        <w:tc>
          <w:tcPr>
            <w:tcW w:type="dxa" w:w="4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auth failures et anomalies</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accès non autorisé</w:t>
            </w:r>
          </w:p>
        </w:tc>
      </w:tr>
    </w:tbl>
    <w:p>
      <w:pPr>
        <w:spacing w:after="40"/>
      </w:pPr>
    </w:p>
    <w:p>
      <w:pPr>
        <w:pStyle w:val="Heading2"/>
      </w:pPr>
      <w:r>
        <w:t>SLO</w:t>
      </w:r>
    </w:p>
    <w:p>
      <w:pPr>
        <w:spacing w:after="140" w:line="307" w:lineRule="auto"/>
      </w:pPr>
      <w:r>
        <w:rPr>
          <w:rFonts w:ascii="Arial" w:hAnsi="Arial" w:eastAsia="Arial"/>
          <w:i w:val="0"/>
          <w:color w:val="162019"/>
          <w:sz w:val="20"/>
        </w:rPr>
        <w:t>Aucun SLA production n’est promis. Les seuils du pilote servent à diagnostiquer et comparer les cas, pas à revendiquer une disponibilité commerciale.</w:t>
      </w:r>
    </w:p>
    <w:p>
      <w:r>
        <w:br w:type="page"/>
      </w:r>
    </w:p>
    <w:p>
      <w:pPr>
        <w:keepNext/>
        <w:spacing w:before="440" w:after="100"/>
      </w:pPr>
      <w:r>
        <w:rPr>
          <w:rFonts w:ascii="Arial" w:hAnsi="Arial" w:eastAsia="Arial"/>
          <w:b/>
          <w:color w:val="C6A15B"/>
          <w:sz w:val="16"/>
        </w:rPr>
        <w:t>CHAPITRE 09</w:t>
      </w:r>
    </w:p>
    <w:p>
      <w:pPr>
        <w:pStyle w:val="Heading1"/>
        <w:pageBreakBefore w:val="0"/>
      </w:pPr>
      <w:r>
        <w:t>Traçabilité et dossier de preuve</w:t>
      </w:r>
    </w:p>
    <w:tbl>
      <w:tblPr>
        <w:tblStyle w:val="TableGrid"/>
        <w:tblW w:type="dxa" w:w="9500"/>
        <w:jc w:val="left"/>
        <w:tblLayout w:type="fixed"/>
        <w:tblLook w:firstColumn="1" w:firstRow="1" w:lastColumn="0" w:lastRow="0" w:noHBand="0" w:noVBand="1" w:val="04A0"/>
        <w:tblInd w:w="120" w:type="dxa"/>
      </w:tblPr>
      <w:tblGrid>
        <w:gridCol w:w="2800"/>
        <w:gridCol w:w="6700"/>
      </w:tblGrid>
      <w:tr>
        <w:trPr>
          <w:tblHeader w:val="true"/>
          <w:cantSplit/>
        </w:trPr>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Lien</w:t>
            </w:r>
          </w:p>
        </w:tc>
        <w:tc>
          <w:tcPr>
            <w:tcW w:type="dxa" w:w="6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Identifiants à réconcilier</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Exigence → test</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REQ-ID, TEST-ID, résultat, date</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Code → build</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commit, lockfile, toolchain, artifact hash</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Build → déploiement</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bytecode, adresse, tx, bloc</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Événement → index</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chainId, txHash, logIndex, confirmations</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 → décision</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proofId, policyVersion, decisionId</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Incident → correction</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incidentId, changeId, retest</w:t>
            </w:r>
          </w:p>
        </w:tc>
      </w:tr>
    </w:tbl>
    <w:p>
      <w:pPr>
        <w:spacing w:after="40"/>
      </w:pPr>
    </w:p>
    <w:p>
      <w:pPr>
        <w:pStyle w:val="Heading2"/>
      </w:pPr>
      <w:r>
        <w:t>Minimum avant envoi à un auditeur</w:t>
      </w:r>
    </w:p>
    <w:p>
      <w:pPr>
        <w:numPr>
          <w:ilvl w:val="0"/>
          <w:numId w:val="20"/>
        </w:numPr>
        <w:spacing w:after="80" w:line="283" w:lineRule="auto"/>
      </w:pPr>
      <w:r>
        <w:rPr>
          <w:rFonts w:ascii="Arial" w:hAnsi="Arial" w:eastAsia="Arial"/>
          <w:color w:val="162019"/>
          <w:sz w:val="20"/>
        </w:rPr>
        <w:t>périmètre et commit gelés ;</w:t>
      </w:r>
    </w:p>
    <w:p>
      <w:pPr>
        <w:numPr>
          <w:ilvl w:val="0"/>
          <w:numId w:val="20"/>
        </w:numPr>
        <w:spacing w:after="80" w:line="283" w:lineRule="auto"/>
      </w:pPr>
      <w:r>
        <w:rPr>
          <w:rFonts w:ascii="Arial" w:hAnsi="Arial" w:eastAsia="Arial"/>
          <w:color w:val="162019"/>
          <w:sz w:val="20"/>
        </w:rPr>
        <w:t>build reproductible ;</w:t>
      </w:r>
    </w:p>
    <w:p>
      <w:pPr>
        <w:numPr>
          <w:ilvl w:val="0"/>
          <w:numId w:val="20"/>
        </w:numPr>
        <w:spacing w:after="80" w:line="283" w:lineRule="auto"/>
      </w:pPr>
      <w:r>
        <w:rPr>
          <w:rFonts w:ascii="Arial" w:hAnsi="Arial" w:eastAsia="Arial"/>
          <w:color w:val="162019"/>
          <w:sz w:val="20"/>
        </w:rPr>
        <w:t>adresses et bytecodes réconciliés ;</w:t>
      </w:r>
    </w:p>
    <w:p>
      <w:pPr>
        <w:numPr>
          <w:ilvl w:val="0"/>
          <w:numId w:val="20"/>
        </w:numPr>
        <w:spacing w:after="80" w:line="283" w:lineRule="auto"/>
      </w:pPr>
      <w:r>
        <w:rPr>
          <w:rFonts w:ascii="Arial" w:hAnsi="Arial" w:eastAsia="Arial"/>
          <w:color w:val="162019"/>
          <w:sz w:val="20"/>
        </w:rPr>
        <w:t>modèle de menace ;</w:t>
      </w:r>
    </w:p>
    <w:p>
      <w:pPr>
        <w:numPr>
          <w:ilvl w:val="0"/>
          <w:numId w:val="20"/>
        </w:numPr>
        <w:spacing w:after="80" w:line="283" w:lineRule="auto"/>
      </w:pPr>
      <w:r>
        <w:rPr>
          <w:rFonts w:ascii="Arial" w:hAnsi="Arial" w:eastAsia="Arial"/>
          <w:color w:val="162019"/>
          <w:sz w:val="20"/>
        </w:rPr>
        <w:t>tests avec résultats ;</w:t>
      </w:r>
    </w:p>
    <w:p>
      <w:pPr>
        <w:numPr>
          <w:ilvl w:val="0"/>
          <w:numId w:val="20"/>
        </w:numPr>
        <w:spacing w:after="80" w:line="283" w:lineRule="auto"/>
      </w:pPr>
      <w:r>
        <w:rPr>
          <w:rFonts w:ascii="Arial" w:hAnsi="Arial" w:eastAsia="Arial"/>
          <w:color w:val="162019"/>
          <w:sz w:val="20"/>
        </w:rPr>
        <w:t>rôles et clés ;</w:t>
      </w:r>
    </w:p>
    <w:p>
      <w:pPr>
        <w:numPr>
          <w:ilvl w:val="0"/>
          <w:numId w:val="20"/>
        </w:numPr>
        <w:spacing w:after="80" w:line="283" w:lineRule="auto"/>
      </w:pPr>
      <w:r>
        <w:rPr>
          <w:rFonts w:ascii="Arial" w:hAnsi="Arial" w:eastAsia="Arial"/>
          <w:color w:val="162019"/>
          <w:sz w:val="20"/>
        </w:rPr>
        <w:t>limitations et findings ouverts ;</w:t>
      </w:r>
    </w:p>
    <w:p>
      <w:pPr>
        <w:numPr>
          <w:ilvl w:val="0"/>
          <w:numId w:val="20"/>
        </w:numPr>
        <w:spacing w:after="80" w:line="283" w:lineRule="auto"/>
      </w:pPr>
      <w:r>
        <w:rPr>
          <w:rFonts w:ascii="Arial" w:hAnsi="Arial" w:eastAsia="Arial"/>
          <w:color w:val="162019"/>
          <w:sz w:val="20"/>
        </w:rPr>
        <w:t>contact de triage.</w:t>
      </w:r>
    </w:p>
    <w:p>
      <w:r>
        <w:br w:type="page"/>
      </w:r>
    </w:p>
    <w:p>
      <w:pPr>
        <w:keepNext/>
        <w:spacing w:before="440" w:after="100"/>
      </w:pPr>
      <w:r>
        <w:rPr>
          <w:rFonts w:ascii="Arial" w:hAnsi="Arial" w:eastAsia="Arial"/>
          <w:b/>
          <w:color w:val="C6A15B"/>
          <w:sz w:val="16"/>
        </w:rPr>
        <w:t>CHAPITRE 10</w:t>
      </w:r>
    </w:p>
    <w:p>
      <w:pPr>
        <w:pStyle w:val="Heading1"/>
        <w:pageBreakBefore w:val="0"/>
      </w:pPr>
      <w:r>
        <w:t>Gates vers le pilote et la production</w:t>
      </w:r>
    </w:p>
    <w:tbl>
      <w:tblPr>
        <w:tblStyle w:val="TableGrid"/>
        <w:tblW w:type="dxa" w:w="9500"/>
        <w:jc w:val="left"/>
        <w:tblLayout w:type="fixed"/>
        <w:tblLook w:firstColumn="1" w:firstRow="1" w:lastColumn="0" w:lastRow="0" w:noHBand="0" w:noVBand="1" w:val="04A0"/>
        <w:tblInd w:w="120" w:type="dxa"/>
      </w:tblPr>
      <w:tblGrid>
        <w:gridCol w:w="1800"/>
        <w:gridCol w:w="5000"/>
        <w:gridCol w:w="27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Gate</w:t>
            </w:r>
          </w:p>
        </w:tc>
        <w:tc>
          <w:tcPr>
            <w:tcW w:type="dxa" w:w="5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Condition</w:t>
            </w:r>
          </w:p>
        </w:tc>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 actuel</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RC interne</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Tests critiques et risques documentés</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interne déclaré</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Commits/builds/adresses reliés</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consolider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Reprise</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Persistance et reorg démontrés</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démontrer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Pilote</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Accord, données et workflow approuvés</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lancé</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Audit</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Revue indépendante et remédiations</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réalisé</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Production</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Sécurité, juridique, opérations, assurance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AUTORISÉ</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DÉCISION</w:t>
        <w:br/>
      </w:r>
      <w:r>
        <w:rPr>
          <w:rFonts w:ascii="Arial" w:hAnsi="Arial" w:eastAsia="Arial"/>
          <w:b w:val="0"/>
          <w:color w:val="162019"/>
          <w:sz w:val="20"/>
        </w:rPr>
        <w:t>Aucun passage mainnet ne peut être déduit du PASS interne ou d’un pilote réussi. Une décision de production exige un dossier et une autorisation distincts.</w:t>
      </w:r>
    </w:p>
    <w:p>
      <w:r>
        <w:br w:type="page"/>
      </w:r>
    </w:p>
    <w:p>
      <w:pPr>
        <w:keepNext/>
        <w:spacing w:before="440" w:after="100"/>
      </w:pPr>
      <w:r>
        <w:rPr>
          <w:rFonts w:ascii="Arial" w:hAnsi="Arial" w:eastAsia="Arial"/>
          <w:b/>
          <w:color w:val="C6A15B"/>
          <w:sz w:val="16"/>
        </w:rPr>
        <w:t>CHAPITRE A</w:t>
      </w:r>
    </w:p>
    <w:p>
      <w:pPr>
        <w:pStyle w:val="Heading1"/>
        <w:pageBreakBefore w:val="0"/>
      </w:pPr>
      <w:r>
        <w:t>Registres à compléter</w:t>
      </w:r>
    </w:p>
    <w:p>
      <w:pPr>
        <w:pStyle w:val="Heading2"/>
      </w:pPr>
      <w:r>
        <w:t>Matrice des composants</w:t>
      </w:r>
    </w:p>
    <w:tbl>
      <w:tblPr>
        <w:tblStyle w:val="TableGrid"/>
        <w:tblW w:type="dxa" w:w="9500"/>
        <w:jc w:val="left"/>
        <w:tblLayout w:type="fixed"/>
        <w:tblLook w:firstColumn="1" w:firstRow="1" w:lastColumn="0" w:lastRow="0" w:noHBand="0" w:noVBand="1" w:val="04A0"/>
        <w:tblInd w:w="120" w:type="dxa"/>
      </w:tblPr>
      <w:tblGrid>
        <w:gridCol w:w="1700"/>
        <w:gridCol w:w="2400"/>
        <w:gridCol w:w="1500"/>
        <w:gridCol w:w="1500"/>
        <w:gridCol w:w="1200"/>
        <w:gridCol w:w="1200"/>
      </w:tblGrid>
      <w:tr>
        <w:trPr>
          <w:tblHeader w:val="true"/>
          <w:cantSplit/>
        </w:trPr>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Composant</w:t>
            </w:r>
          </w:p>
        </w:tc>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Repo/chemin</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Owner</w:t>
            </w:r>
          </w:p>
        </w:tc>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Criticité</w:t>
            </w:r>
          </w:p>
        </w:tc>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Interface</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[TAG]</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[H/M/B]</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[ÉTAT]</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API</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[TAG]</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[H/M/B]</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[ÉTAT]</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Engine</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[TAG]</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[H/M/B]</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[ÉTAT]</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Indexer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[TAG]</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[H/M/B]</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[ÉTAT]</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Contracts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[TAG]</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[H/M/B]</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[ÉTAT]</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Database</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[TAG]</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[NOM]</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[H/M/B]</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[ÉTAT]</w:t>
            </w:r>
          </w:p>
        </w:tc>
      </w:tr>
    </w:tbl>
    <w:p>
      <w:pPr>
        <w:spacing w:after="40"/>
      </w:pPr>
    </w:p>
    <w:p>
      <w:pPr>
        <w:pStyle w:val="Heading2"/>
      </w:pPr>
      <w:r>
        <w:t>Décisions d’architecture</w:t>
      </w:r>
    </w:p>
    <w:tbl>
      <w:tblPr>
        <w:tblStyle w:val="TableGrid"/>
        <w:tblW w:type="dxa" w:w="9500"/>
        <w:jc w:val="left"/>
        <w:tblLayout w:type="fixed"/>
        <w:tblLook w:firstColumn="1" w:firstRow="1" w:lastColumn="0" w:lastRow="0" w:noHBand="0" w:noVBand="1" w:val="04A0"/>
        <w:tblInd w:w="120" w:type="dxa"/>
      </w:tblPr>
      <w:tblGrid>
        <w:gridCol w:w="1500"/>
        <w:gridCol w:w="3400"/>
        <w:gridCol w:w="3000"/>
        <w:gridCol w:w="1600"/>
      </w:tblGrid>
      <w:tr>
        <w:trPr>
          <w:tblHeader w:val="true"/>
          <w:cantSplit/>
        </w:trPr>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ADR</w:t>
            </w:r>
          </w:p>
        </w:tc>
        <w:tc>
          <w:tcPr>
            <w:tcW w:type="dxa" w:w="3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Motif</w:t>
            </w:r>
          </w:p>
        </w:tc>
        <w:tc>
          <w:tcPr>
            <w:tcW w:type="dxa" w:w="1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Date/statut</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ADR-001</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 / ÉTAT]</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ADR-002</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 / ÉTAT]</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ADR-003</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 / ÉTAT]</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ADR-004</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 / ÉTAT]</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ADR-005</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 / ÉTAT]</w:t>
            </w:r>
          </w:p>
        </w:tc>
      </w:tr>
    </w:tbl>
    <w:p>
      <w:pPr>
        <w:spacing w:after="40"/>
      </w:pPr>
    </w:p>
    <w:p>
      <w:pPr>
        <w:pStyle w:val="Heading2"/>
      </w:pPr>
      <w:r>
        <w:t>Risques ouverts</w:t>
      </w:r>
    </w:p>
    <w:tbl>
      <w:tblPr>
        <w:tblStyle w:val="TableGrid"/>
        <w:tblW w:type="dxa" w:w="9500"/>
        <w:jc w:val="left"/>
        <w:tblLayout w:type="fixed"/>
        <w:tblLook w:firstColumn="1" w:firstRow="1" w:lastColumn="0" w:lastRow="0" w:noHBand="0" w:noVBand="1" w:val="04A0"/>
        <w:tblInd w:w="120" w:type="dxa"/>
      </w:tblPr>
      <w:tblGrid>
        <w:gridCol w:w="2700"/>
        <w:gridCol w:w="1300"/>
        <w:gridCol w:w="2900"/>
        <w:gridCol w:w="1300"/>
        <w:gridCol w:w="1300"/>
      </w:tblGrid>
      <w:tr>
        <w:trPr>
          <w:tblHeader w:val="true"/>
          <w:cantSplit/>
        </w:trPr>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Risque</w:t>
            </w:r>
          </w:p>
        </w:tc>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Impact</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Owner</w:t>
            </w:r>
          </w:p>
        </w:tc>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Échéance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[H/M/B]</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[H/M/B]</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[H/M/B]</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[H/M/B]</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[H/M/B]</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w:t>
            </w:r>
          </w:p>
        </w:tc>
      </w:tr>
    </w:tbl>
    <w:p>
      <w:pPr>
        <w:spacing w:after="40"/>
      </w:pP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ARCHITECTURE V1.0</w:t>
    </w:r>
    <w:r>
      <w:rPr>
        <w:rFonts w:ascii="Arial" w:hAnsi="Arial" w:eastAsia="Arial"/>
        <w:b/>
        <w:color w:val="C6A15B"/>
        <w:sz w:val="14"/>
      </w:rPr>
      <w:tab/>
      <w:t xml:space="preserve">DOCUMENT CONTRÔLÉ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DOSSIER D’ARCHITECTURE TECHNIQUE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decimal"/>
      <w:lvlText w:val="%1."/>
      <w:suff w:val="tab"/>
      <w:pPr>
        <w:tabs>
          <w:tab w:val="num" w:pos="540"/>
        </w:tabs>
        <w:ind w:left="540" w:hanging="270"/>
      </w:pPr>
      <w:rPr>
        <w:color w:val="155A3E"/>
      </w:rPr>
    </w:lvl>
  </w:abstractNum>
  <w:num w:numId="17">
    <w:abstractNumId w:val="16"/>
  </w:num>
  <w:abstractNum w:abstractNumId="17">
    <w:multiLevelType w:val="singleLevel"/>
    <w:lvl w:ilvl="0">
      <w:start w:val="1"/>
      <w:numFmt w:val="bullet"/>
      <w:lvlText w:val="•"/>
      <w:suff w:val="tab"/>
      <w:pPr>
        <w:tabs>
          <w:tab w:val="num" w:pos="540"/>
        </w:tabs>
        <w:ind w:left="540" w:hanging="270"/>
      </w:pPr>
      <w:rPr>
        <w:color w:val="C6A15B"/>
      </w:rPr>
    </w:lvl>
  </w:abstractNum>
  <w:num w:numId="18">
    <w:abstractNumId w:val="17"/>
  </w:num>
  <w:abstractNum w:abstractNumId="18">
    <w:multiLevelType w:val="singleLevel"/>
    <w:lvl w:ilvl="0">
      <w:start w:val="1"/>
      <w:numFmt w:val="bullet"/>
      <w:lvlText w:val="•"/>
      <w:suff w:val="tab"/>
      <w:pPr>
        <w:tabs>
          <w:tab w:val="num" w:pos="540"/>
        </w:tabs>
        <w:ind w:left="540" w:hanging="270"/>
      </w:pPr>
      <w:rPr>
        <w:color w:val="C6A15B"/>
      </w:rPr>
    </w:lvl>
  </w:abstractNum>
  <w:num w:numId="19">
    <w:abstractNumId w:val="18"/>
  </w:num>
  <w:abstractNum w:abstractNumId="19">
    <w:multiLevelType w:val="singleLevel"/>
    <w:lvl w:ilvl="0">
      <w:start w:val="1"/>
      <w:numFmt w:val="bullet"/>
      <w:lvlText w:val="•"/>
      <w:suff w:val="tab"/>
      <w:pPr>
        <w:tabs>
          <w:tab w:val="num" w:pos="540"/>
        </w:tabs>
        <w:ind w:left="540" w:hanging="270"/>
      </w:pPr>
      <w:rPr>
        <w:color w:val="C6A15B"/>
      </w:rPr>
    </w:lvl>
  </w:abstract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Dossier d’architecture technique V1.0</dc:title>
  <dc:subject>Documentation Pacturion V1.0</dc:subject>
  <dc:creator>Pacturion</dc:creator>
  <cp:keywords>Pacturion, VERIDIA Protocol, engagements vérifiables, ALPHA, BCS, Base</cp:keywords>
  <dc:description>Document de travail contrôlé — ne constitue pas une offre au public.</dc:description>
  <cp:lastModifiedBy/>
  <cp:revision>1</cp:revision>
  <dcterms:created xsi:type="dcterms:W3CDTF">2013-12-23T23:15:00Z</dcterms:created>
  <dcterms:modified xsi:type="dcterms:W3CDTF">2013-12-23T23:15:00Z</dcterms:modified>
  <cp:category/>
</cp:coreProperties>
</file>