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80"/>
        <w:jc w:val="center"/>
      </w:pPr>
      <w:r>
        <w:drawing>
          <wp:inline xmlns:a="http://schemas.openxmlformats.org/drawingml/2006/main" xmlns:pic="http://schemas.openxmlformats.org/drawingml/2006/picture">
            <wp:extent cx="6120000" cy="1036190"/>
            <wp:docPr id="1" name="Picture 1" descr="Bannière Pacturion dorée sur fond sombre" title="Pacturio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6120000" cy="1036190"/>
                    </a:xfrm>
                    <a:prstGeom prst="rect"/>
                  </pic:spPr>
                </pic:pic>
              </a:graphicData>
            </a:graphic>
          </wp:inline>
        </w:drawing>
      </w:r>
    </w:p>
    <w:p>
      <w:pPr>
        <w:spacing w:after="80"/>
      </w:pPr>
      <w:r>
        <w:rPr>
          <w:rFonts w:ascii="Arial" w:hAnsi="Arial" w:eastAsia="Arial"/>
          <w:b/>
          <w:color w:val="06110B"/>
          <w:sz w:val="45"/>
        </w:rPr>
        <w:t>DOSSIER PROPRIÉTÉ INTELLECTUELLE ET LICENCES</w:t>
      </w:r>
    </w:p>
    <w:p>
      <w:pPr>
        <w:spacing w:after="160"/>
      </w:pPr>
      <w:r>
        <w:rPr>
          <w:rFonts w:ascii="Arial" w:hAnsi="Arial" w:eastAsia="Arial"/>
          <w:color w:val="155A3E"/>
          <w:sz w:val="32"/>
        </w:rPr>
        <w:t>Chaîne de titularité, dépendances et stratégie — V1.0</w:t>
      </w:r>
    </w:p>
    <w:tbl>
      <w:tblPr>
        <w:tblStyle w:val="TableGrid"/>
        <w:tblW w:type="dxa" w:w="9500"/>
        <w:jc w:val="left"/>
        <w:tblLayout w:type="fixed"/>
        <w:tblLook w:firstColumn="1" w:firstRow="1" w:lastColumn="0" w:lastRow="0" w:noHBand="0" w:noVBand="1" w:val="04A0"/>
        <w:tblInd w:w="120" w:type="dxa"/>
      </w:tblPr>
      <w:tblGrid>
        <w:gridCol w:w="1300"/>
        <w:gridCol w:w="2100"/>
        <w:gridCol w:w="3900"/>
        <w:gridCol w:w="2200"/>
      </w:tblGrid>
      <w:tr>
        <w:trPr>
          <w:tblHeader w:val="true"/>
          <w:cantSplit/>
        </w:trPr>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VERSION</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3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PROPRIÉTAIRE</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1.0</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8 septembre 2026</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REGISTRE À ALIMENTER</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Pacturion</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FINALITÉ</w:t>
        <w:br/>
      </w:r>
      <w:r>
        <w:rPr>
          <w:rFonts w:ascii="Arial" w:hAnsi="Arial" w:eastAsia="Arial"/>
          <w:b w:val="0"/>
          <w:color w:val="162019"/>
          <w:sz w:val="20"/>
        </w:rPr>
        <w:t>Préserver la capacité de Pacturion à piloter, licencier, auditer ou céder ses actifs sans ambiguïté sur les droits.</w:t>
      </w:r>
    </w:p>
    <w:p>
      <w:pPr>
        <w:spacing w:before="100" w:after="180" w:line="283" w:lineRule="auto"/>
        <w:ind w:left="227" w:right="170"/>
        <w:shd w:fill="F6F0E3"/>
        <w:pBdr>
          <w:left w:val="single" w:sz="18" w:space="8" w:color="C6A15B"/>
        </w:pBdr>
      </w:pPr>
      <w:r>
        <w:rPr>
          <w:rFonts w:ascii="Arial" w:hAnsi="Arial" w:eastAsia="Arial"/>
          <w:b/>
          <w:color w:val="C6A15B"/>
          <w:sz w:val="16"/>
        </w:rPr>
        <w:t>LIMITE</w:t>
        <w:br/>
      </w:r>
      <w:r>
        <w:rPr>
          <w:rFonts w:ascii="Arial" w:hAnsi="Arial" w:eastAsia="Arial"/>
          <w:b w:val="0"/>
          <w:color w:val="162019"/>
          <w:sz w:val="20"/>
        </w:rPr>
        <w:t>Ce dossier est un outil de contrôle, pas une opinion juridique ni une confirmation de titularité. Les preuves et contrats doivent être collectés.</w:t>
      </w:r>
    </w:p>
    <w:p>
      <w:r>
        <w:br w:type="page"/>
      </w:r>
    </w:p>
    <w:p>
      <w:pPr>
        <w:keepNext/>
        <w:spacing w:before="440" w:after="100"/>
      </w:pPr>
      <w:r>
        <w:rPr>
          <w:rFonts w:ascii="Arial" w:hAnsi="Arial" w:eastAsia="Arial"/>
          <w:b/>
          <w:color w:val="C6A15B"/>
          <w:sz w:val="16"/>
        </w:rPr>
        <w:t>CHAPITRE 00</w:t>
      </w:r>
    </w:p>
    <w:p>
      <w:pPr>
        <w:pStyle w:val="Heading1"/>
        <w:pageBreakBefore w:val="0"/>
      </w:pPr>
      <w:r>
        <w:t>Décision stratégique</w:t>
      </w:r>
    </w:p>
    <w:p>
      <w:pPr>
        <w:spacing w:before="100" w:after="180" w:line="283" w:lineRule="auto"/>
        <w:ind w:left="227" w:right="170"/>
        <w:shd w:fill="EDF3EF"/>
        <w:pBdr>
          <w:left w:val="single" w:sz="18" w:space="8" w:color="155A3E"/>
        </w:pBdr>
      </w:pPr>
      <w:r>
        <w:rPr>
          <w:rFonts w:ascii="Arial" w:hAnsi="Arial" w:eastAsia="Arial"/>
          <w:b/>
          <w:color w:val="155A3E"/>
          <w:sz w:val="16"/>
        </w:rPr>
        <w:t>POSITION RECOMMANDÉE</w:t>
        <w:br/>
      </w:r>
      <w:r>
        <w:rPr>
          <w:rFonts w:ascii="Arial" w:hAnsi="Arial" w:eastAsia="Arial"/>
          <w:b w:val="0"/>
          <w:color w:val="162019"/>
          <w:sz w:val="20"/>
        </w:rPr>
        <w:t>Conserver le cœur Pacturion/VERIDIA sous contrôle propriétaire pendant la validation. N’ouvrir que des composants clairement isolés, après inventaire des droits et choix écrit de licence.</w:t>
      </w:r>
    </w:p>
    <w:p>
      <w:pPr>
        <w:spacing w:after="140" w:line="307" w:lineRule="auto"/>
      </w:pPr>
      <w:r>
        <w:rPr>
          <w:rFonts w:ascii="Arial" w:hAnsi="Arial" w:eastAsia="Arial"/>
          <w:i w:val="0"/>
          <w:color w:val="162019"/>
          <w:sz w:val="20"/>
        </w:rPr>
        <w:t>Ouvrir trop tôt le dépôt complet réduirait les options de licence, de partenariat ou de cession sans résoudre le risque principal : l’absence de validation marché. L’opacité totale serait également mauvaise pour l’auditabilité. La stratégie doit donc distinguer preuve vérifiable et droit de réutilisation.</w:t>
      </w:r>
    </w:p>
    <w:p>
      <w:pPr>
        <w:pStyle w:val="Heading2"/>
      </w:pPr>
      <w:r>
        <w:t>Architecture des noms</w:t>
      </w:r>
    </w:p>
    <w:tbl>
      <w:tblPr>
        <w:tblStyle w:val="TableGrid"/>
        <w:tblW w:type="dxa" w:w="9500"/>
        <w:jc w:val="left"/>
        <w:tblLayout w:type="fixed"/>
        <w:tblLook w:firstColumn="1" w:firstRow="1" w:lastColumn="0" w:lastRow="0" w:noHBand="0" w:noVBand="1" w:val="04A0"/>
        <w:tblInd w:w="120" w:type="dxa"/>
      </w:tblPr>
      <w:tblGrid>
        <w:gridCol w:w="2400"/>
        <w:gridCol w:w="4000"/>
        <w:gridCol w:w="3100"/>
      </w:tblGrid>
      <w:tr>
        <w:trPr>
          <w:tblHeader w:val="true"/>
          <w:cantSplit/>
        </w:trPr>
        <w:tc>
          <w:tcPr>
            <w:tcW w:type="dxa" w:w="2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Signe</w:t>
            </w:r>
          </w:p>
        </w:tc>
        <w:tc>
          <w:tcPr>
            <w:tcW w:type="dxa" w:w="4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w:t>
            </w:r>
          </w:p>
        </w:tc>
        <w:tc>
          <w:tcPr>
            <w:tcW w:type="dxa" w:w="3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r>
      <w:tr>
        <w:trPr>
          <w:cantSplit/>
        </w:trPr>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Pacturion</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Marque commerciale et projet</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 officiel des documents</w:t>
            </w:r>
          </w:p>
        </w:tc>
      </w:tr>
      <w:tr>
        <w:trPr>
          <w:cantSplit/>
        </w:trPr>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VERIDIA Protocol</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Infrastructure technique</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Marque/nom technique à protéger selon stratégie</w:t>
            </w:r>
          </w:p>
        </w:tc>
      </w:tr>
      <w:tr>
        <w:trPr>
          <w:cantSplit/>
        </w:trPr>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ALPHA</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Hypothèse produit interne</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Ne pas investir dans une marque autonome avant validation</w:t>
            </w:r>
          </w:p>
        </w:tc>
      </w:tr>
      <w:tr>
        <w:trPr>
          <w:cantSplit/>
        </w:trPr>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BCS</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Module/axe interne</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Vérifier disponibilité si exposition publique</w:t>
            </w:r>
          </w:p>
        </w:tc>
      </w:tr>
      <w:tr>
        <w:trPr>
          <w:cantSplit/>
        </w:trPr>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VERIDIA</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Crypto-actif dormant</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Aucune activation ou promotion économique</w:t>
            </w:r>
          </w:p>
        </w:tc>
      </w:tr>
    </w:tbl>
    <w:p>
      <w:pPr>
        <w:spacing w:after="40"/>
      </w:pPr>
    </w:p>
    <w:p>
      <w:r>
        <w:br w:type="page"/>
      </w:r>
    </w:p>
    <w:p>
      <w:pPr>
        <w:keepNext/>
        <w:spacing w:before="440" w:after="100"/>
      </w:pPr>
      <w:r>
        <w:rPr>
          <w:rFonts w:ascii="Arial" w:hAnsi="Arial" w:eastAsia="Arial"/>
          <w:b/>
          <w:color w:val="C6A15B"/>
          <w:sz w:val="16"/>
        </w:rPr>
        <w:t>CHAPITRE 01</w:t>
      </w:r>
    </w:p>
    <w:p>
      <w:pPr>
        <w:pStyle w:val="Heading1"/>
        <w:pageBreakBefore w:val="0"/>
      </w:pPr>
      <w:r>
        <w:t>Registre des actifs</w:t>
      </w:r>
    </w:p>
    <w:tbl>
      <w:tblPr>
        <w:tblStyle w:val="TableGrid"/>
        <w:tblW w:type="dxa" w:w="9500"/>
        <w:jc w:val="left"/>
        <w:tblLayout w:type="fixed"/>
        <w:tblLook w:firstColumn="1" w:firstRow="1" w:lastColumn="0" w:lastRow="0" w:noHBand="0" w:noVBand="1" w:val="04A0"/>
        <w:tblInd w:w="120" w:type="dxa"/>
      </w:tblPr>
      <w:tblGrid>
        <w:gridCol w:w="2100"/>
        <w:gridCol w:w="2200"/>
        <w:gridCol w:w="2200"/>
        <w:gridCol w:w="1900"/>
        <w:gridCol w:w="1100"/>
      </w:tblGrid>
      <w:tr>
        <w:trPr>
          <w:tblHeader w:val="true"/>
          <w:cantSplit/>
        </w:trPr>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Actif</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Auteur/source</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Titulaire présumé</w:t>
            </w:r>
          </w:p>
        </w:tc>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w:t>
            </w:r>
          </w:p>
        </w:tc>
        <w:tc>
          <w:tcPr>
            <w:tcW w:type="dxa" w:w="1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Code contrats EVM</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QUALIFIER]</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Commits/cessions</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OUVERT</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API/indexer/engine</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QUALIFIER]</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Commits/cessions</w:t>
            </w:r>
          </w:p>
        </w:tc>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OUVERT</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Documentation V1.0</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Pacturion</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[PORTEUR/ENTITÉ]</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Fichiers/version</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FORMALISER</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Logo et bannière</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[HUMAIN/IA/FOURNISSEUR]</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QUALIFIER]</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Sources/conditions</w:t>
            </w:r>
          </w:p>
        </w:tc>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OUVERT</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Nom/domaine Pacturion</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Porteur</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Facture/compte</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DOMAINE RÉSERVÉ</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Données/tests</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Pacturion/tiers</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Selon origine</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Protocole/accord</w:t>
            </w:r>
          </w:p>
        </w:tc>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OUVERT</w:t>
            </w:r>
          </w:p>
        </w:tc>
      </w:tr>
    </w:tbl>
    <w:p>
      <w:pPr>
        <w:spacing w:after="40"/>
      </w:pPr>
    </w:p>
    <w:p>
      <w:pPr>
        <w:pStyle w:val="Heading2"/>
      </w:pPr>
      <w:r>
        <w:t>Principe</w:t>
      </w:r>
    </w:p>
    <w:p>
      <w:pPr>
        <w:spacing w:after="140" w:line="307" w:lineRule="auto"/>
      </w:pPr>
      <w:r>
        <w:rPr>
          <w:rFonts w:ascii="Arial" w:hAnsi="Arial" w:eastAsia="Arial"/>
          <w:i w:val="0"/>
          <w:color w:val="162019"/>
          <w:sz w:val="20"/>
        </w:rPr>
        <w:t>Une mention « créé pour Pacturion » n’est pas une preuve suffisante de cession. Chaque contribution externe doit être reliée à un contrat, à une licence ou à une cession définissant précisément les droits, territoires, durées, supports et rémunérations lorsque requis.</w:t>
      </w:r>
    </w:p>
    <w:p>
      <w:r>
        <w:br w:type="page"/>
      </w:r>
    </w:p>
    <w:p>
      <w:pPr>
        <w:keepNext/>
        <w:spacing w:before="440" w:after="100"/>
      </w:pPr>
      <w:r>
        <w:rPr>
          <w:rFonts w:ascii="Arial" w:hAnsi="Arial" w:eastAsia="Arial"/>
          <w:b/>
          <w:color w:val="C6A15B"/>
          <w:sz w:val="16"/>
        </w:rPr>
        <w:t>CHAPITRE 02</w:t>
      </w:r>
    </w:p>
    <w:p>
      <w:pPr>
        <w:pStyle w:val="Heading1"/>
        <w:pageBreakBefore w:val="0"/>
      </w:pPr>
      <w:r>
        <w:t>Chaîne de titularité</w:t>
      </w:r>
    </w:p>
    <w:tbl>
      <w:tblPr>
        <w:tblStyle w:val="TableGrid"/>
        <w:tblW w:type="dxa" w:w="9500"/>
        <w:jc w:val="left"/>
        <w:tblLayout w:type="fixed"/>
        <w:tblLook w:firstColumn="1" w:firstRow="1" w:lastColumn="0" w:lastRow="0" w:noHBand="0" w:noVBand="1" w:val="04A0"/>
        <w:tblInd w:w="120" w:type="dxa"/>
      </w:tblPr>
      <w:tblGrid>
        <w:gridCol w:w="2200"/>
        <w:gridCol w:w="3500"/>
        <w:gridCol w:w="3800"/>
      </w:tblGrid>
      <w:tr>
        <w:trPr>
          <w:tblHeader w:val="true"/>
          <w:cantSplit/>
        </w:trPr>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Contributeur</w:t>
            </w:r>
          </w:p>
        </w:tc>
        <w:tc>
          <w:tcPr>
            <w:tcW w:type="dxa" w:w="3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Risque</w:t>
            </w:r>
          </w:p>
        </w:tc>
        <w:tc>
          <w:tcPr>
            <w:tcW w:type="dxa" w:w="3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Contrôle requis</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Fondateur/porteur</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Actifs créés avant l’entité</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Inventaire puis apport/cession/licence à l’entité future</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Salarié</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Mission et moyens de l’employeur</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Vérifier contrat, fonctions et conflits</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Freelance</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Aucune cession implicite suffisante</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Cession écrite détaillée avant livraison</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Partenaire pilote</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Co-création/configuration</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Répartition dans l’accord pilote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Outil IA</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Conditions variables et provenance</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Journal outil/date/input/output/revue humaine</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Open source</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Obligations de licence</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SBOM, notices et compatibilité</w:t>
            </w:r>
          </w:p>
        </w:tc>
      </w:tr>
    </w:tbl>
    <w:p>
      <w:pPr>
        <w:spacing w:after="40"/>
      </w:pPr>
    </w:p>
    <w:p>
      <w:pPr>
        <w:pStyle w:val="Heading2"/>
      </w:pPr>
      <w:r>
        <w:t>Point de vigilance emploi</w:t>
      </w:r>
    </w:p>
    <w:p>
      <w:pPr>
        <w:spacing w:after="140" w:line="307" w:lineRule="auto"/>
      </w:pPr>
      <w:r>
        <w:rPr>
          <w:rFonts w:ascii="Arial" w:hAnsi="Arial" w:eastAsia="Arial"/>
          <w:i w:val="0"/>
          <w:color w:val="162019"/>
          <w:sz w:val="20"/>
        </w:rPr>
        <w:t>Le projet doit être développé sans utiliser de code, documents, secrets, temps ou équipements appartenant à un employeur tiers. Toute proximité avec les fonctions salariées doit être examinée juridiquement afin d’éviter un conflit de titularité ou de confidentialité.</w:t>
      </w:r>
    </w:p>
    <w:p>
      <w:r>
        <w:br w:type="page"/>
      </w:r>
    </w:p>
    <w:p>
      <w:pPr>
        <w:keepNext/>
        <w:spacing w:before="440" w:after="100"/>
      </w:pPr>
      <w:r>
        <w:rPr>
          <w:rFonts w:ascii="Arial" w:hAnsi="Arial" w:eastAsia="Arial"/>
          <w:b/>
          <w:color w:val="C6A15B"/>
          <w:sz w:val="16"/>
        </w:rPr>
        <w:t>CHAPITRE 03</w:t>
      </w:r>
    </w:p>
    <w:p>
      <w:pPr>
        <w:pStyle w:val="Heading1"/>
        <w:pageBreakBefore w:val="0"/>
      </w:pPr>
      <w:r>
        <w:t>Dépendances et licences logicielles</w:t>
      </w:r>
    </w:p>
    <w:tbl>
      <w:tblPr>
        <w:tblStyle w:val="TableGrid"/>
        <w:tblW w:type="dxa" w:w="9500"/>
        <w:jc w:val="left"/>
        <w:tblLayout w:type="fixed"/>
        <w:tblLook w:firstColumn="1" w:firstRow="1" w:lastColumn="0" w:lastRow="0" w:noHBand="0" w:noVBand="1" w:val="04A0"/>
        <w:tblInd w:w="120" w:type="dxa"/>
      </w:tblPr>
      <w:tblGrid>
        <w:gridCol w:w="2800"/>
        <w:gridCol w:w="6700"/>
      </w:tblGrid>
      <w:tr>
        <w:trPr>
          <w:tblHeader w:val="true"/>
          <w:cantSplit/>
        </w:trPr>
        <w:tc>
          <w:tcPr>
            <w:tcW w:type="dxa" w:w="2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 SBOM</w:t>
            </w:r>
          </w:p>
        </w:tc>
        <w:tc>
          <w:tcPr>
            <w:tcW w:type="dxa" w:w="6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Exemple de valeur</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Package/composant</w:t>
            </w:r>
          </w:p>
        </w:tc>
        <w:tc>
          <w:tcPr>
            <w:tcW w:type="dxa" w:w="6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Version/hash</w:t>
            </w:r>
          </w:p>
        </w:tc>
        <w:tc>
          <w:tcPr>
            <w:tcW w:type="dxa" w:w="6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[VERSION]</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Source</w:t>
            </w:r>
          </w:p>
        </w:tc>
        <w:tc>
          <w:tcPr>
            <w:tcW w:type="dxa" w:w="6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[REGISTRY/REPO]</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Licence déclarée</w:t>
            </w:r>
          </w:p>
        </w:tc>
        <w:tc>
          <w:tcPr>
            <w:tcW w:type="dxa" w:w="6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[SPDX ID]</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Licence vérifiée</w:t>
            </w:r>
          </w:p>
        </w:tc>
        <w:tc>
          <w:tcPr>
            <w:tcW w:type="dxa" w:w="6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[FICHIER/URL]</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Usage</w:t>
            </w:r>
          </w:p>
        </w:tc>
        <w:tc>
          <w:tcPr>
            <w:tcW w:type="dxa" w:w="6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build/runtime/dev</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Distribution</w:t>
            </w:r>
          </w:p>
        </w:tc>
        <w:tc>
          <w:tcPr>
            <w:tcW w:type="dxa" w:w="6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SaaS/binaire/source</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Obligations</w:t>
            </w:r>
          </w:p>
        </w:tc>
        <w:tc>
          <w:tcPr>
            <w:tcW w:type="dxa" w:w="6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notice/source/modifications/patent</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Décision</w:t>
            </w:r>
          </w:p>
        </w:tc>
        <w:tc>
          <w:tcPr>
            <w:tcW w:type="dxa" w:w="6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autorisé/remplacer/revue juridique</w:t>
            </w:r>
          </w:p>
        </w:tc>
      </w:tr>
    </w:tbl>
    <w:p>
      <w:pPr>
        <w:spacing w:after="40"/>
      </w:pPr>
    </w:p>
    <w:p>
      <w:pPr>
        <w:pStyle w:val="Heading2"/>
      </w:pPr>
      <w:r>
        <w:t>Politique de dépendances</w:t>
      </w:r>
    </w:p>
    <w:p>
      <w:pPr>
        <w:numPr>
          <w:ilvl w:val="0"/>
          <w:numId w:val="16"/>
        </w:numPr>
        <w:spacing w:after="80" w:line="283" w:lineRule="auto"/>
      </w:pPr>
      <w:r>
        <w:rPr>
          <w:rFonts w:ascii="Arial" w:hAnsi="Arial" w:eastAsia="Arial"/>
          <w:color w:val="162019"/>
          <w:sz w:val="20"/>
        </w:rPr>
        <w:t>aucune dépendance sans version figée, source et licence identifiées ;</w:t>
      </w:r>
    </w:p>
    <w:p>
      <w:pPr>
        <w:numPr>
          <w:ilvl w:val="0"/>
          <w:numId w:val="16"/>
        </w:numPr>
        <w:spacing w:after="80" w:line="283" w:lineRule="auto"/>
      </w:pPr>
      <w:r>
        <w:rPr>
          <w:rFonts w:ascii="Arial" w:hAnsi="Arial" w:eastAsia="Arial"/>
          <w:color w:val="162019"/>
          <w:sz w:val="20"/>
        </w:rPr>
        <w:t>préférer les licences permissives pour le cœur distribuable lorsque possible ;</w:t>
      </w:r>
    </w:p>
    <w:p>
      <w:pPr>
        <w:numPr>
          <w:ilvl w:val="0"/>
          <w:numId w:val="16"/>
        </w:numPr>
        <w:spacing w:after="80" w:line="283" w:lineRule="auto"/>
      </w:pPr>
      <w:r>
        <w:rPr>
          <w:rFonts w:ascii="Arial" w:hAnsi="Arial" w:eastAsia="Arial"/>
          <w:color w:val="162019"/>
          <w:sz w:val="20"/>
        </w:rPr>
        <w:t>isoler et faire revoir tout composant copyleft avant distribution ou service réseau ;</w:t>
      </w:r>
    </w:p>
    <w:p>
      <w:pPr>
        <w:numPr>
          <w:ilvl w:val="0"/>
          <w:numId w:val="16"/>
        </w:numPr>
        <w:spacing w:after="80" w:line="283" w:lineRule="auto"/>
      </w:pPr>
      <w:r>
        <w:rPr>
          <w:rFonts w:ascii="Arial" w:hAnsi="Arial" w:eastAsia="Arial"/>
          <w:color w:val="162019"/>
          <w:sz w:val="20"/>
        </w:rPr>
        <w:t>conserver les notices, copyrights et textes de licence requis ;</w:t>
      </w:r>
    </w:p>
    <w:p>
      <w:pPr>
        <w:numPr>
          <w:ilvl w:val="0"/>
          <w:numId w:val="16"/>
        </w:numPr>
        <w:spacing w:after="80" w:line="283" w:lineRule="auto"/>
      </w:pPr>
      <w:r>
        <w:rPr>
          <w:rFonts w:ascii="Arial" w:hAnsi="Arial" w:eastAsia="Arial"/>
          <w:color w:val="162019"/>
          <w:sz w:val="20"/>
        </w:rPr>
        <w:t>ne pas conclure à la compatibilité sur le seul nom SPDX ; examiner l’usage réel ;</w:t>
      </w:r>
    </w:p>
    <w:p>
      <w:pPr>
        <w:numPr>
          <w:ilvl w:val="0"/>
          <w:numId w:val="16"/>
        </w:numPr>
        <w:spacing w:after="80" w:line="283" w:lineRule="auto"/>
      </w:pPr>
      <w:r>
        <w:rPr>
          <w:rFonts w:ascii="Arial" w:hAnsi="Arial" w:eastAsia="Arial"/>
          <w:color w:val="162019"/>
          <w:sz w:val="20"/>
        </w:rPr>
        <w:t>refuser les sources sans licence explicite.</w:t>
      </w:r>
    </w:p>
    <w:p>
      <w:r>
        <w:br w:type="page"/>
      </w:r>
    </w:p>
    <w:p>
      <w:pPr>
        <w:keepNext/>
        <w:spacing w:before="440" w:after="100"/>
      </w:pPr>
      <w:r>
        <w:rPr>
          <w:rFonts w:ascii="Arial" w:hAnsi="Arial" w:eastAsia="Arial"/>
          <w:b/>
          <w:color w:val="C6A15B"/>
          <w:sz w:val="16"/>
        </w:rPr>
        <w:t>CHAPITRE 04</w:t>
      </w:r>
    </w:p>
    <w:p>
      <w:pPr>
        <w:pStyle w:val="Heading1"/>
        <w:pageBreakBefore w:val="0"/>
      </w:pPr>
      <w:r>
        <w:t>Stratégie de licence Pacturion</w:t>
      </w:r>
    </w:p>
    <w:tbl>
      <w:tblPr>
        <w:tblStyle w:val="TableGrid"/>
        <w:tblW w:type="dxa" w:w="9500"/>
        <w:jc w:val="left"/>
        <w:tblLayout w:type="fixed"/>
        <w:tblLook w:firstColumn="1" w:firstRow="1" w:lastColumn="0" w:lastRow="0" w:noHBand="0" w:noVBand="1" w:val="04A0"/>
        <w:tblInd w:w="120" w:type="dxa"/>
      </w:tblPr>
      <w:tblGrid>
        <w:gridCol w:w="2600"/>
        <w:gridCol w:w="3600"/>
        <w:gridCol w:w="3300"/>
      </w:tblGrid>
      <w:tr>
        <w:trPr>
          <w:tblHeader w:val="true"/>
          <w:cantSplit/>
        </w:trPr>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Couche</w:t>
            </w:r>
          </w:p>
        </w:tc>
        <w:tc>
          <w:tcPr>
            <w:tcW w:type="dxa" w:w="3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Position V1.0</w:t>
            </w:r>
          </w:p>
        </w:tc>
        <w:tc>
          <w:tcPr>
            <w:tcW w:type="dxa" w:w="33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Évolution possible</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Contrats cœur</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Propriétaire / accès auditeur sous NDA</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Source-available ou open source après décision</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SDK/intégration</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Accès contrôlé pilote</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Licence permissive pour adoption</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Schémas/standards</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Documentation partagée sous conditions</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Publication ouverte si avantage écosystème</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Interface commerciale</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Propriétaire</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SaaS/licence entreprise</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Documentation publique</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Tous droits réservés par défaut</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Licence documentaire explicite</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Marques</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Usage sur autorisation</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Politique de marque distincte</w:t>
            </w:r>
          </w:p>
        </w:tc>
      </w:tr>
    </w:tbl>
    <w:p>
      <w:pPr>
        <w:spacing w:after="40"/>
      </w:pPr>
    </w:p>
    <w:p>
      <w:pPr>
        <w:pStyle w:val="Heading2"/>
      </w:pPr>
      <w:r>
        <w:t>Pourquoi ne pas choisir une licence définitive maintenant</w:t>
      </w:r>
    </w:p>
    <w:p>
      <w:pPr>
        <w:spacing w:after="140" w:line="307" w:lineRule="auto"/>
      </w:pPr>
      <w:r>
        <w:rPr>
          <w:rFonts w:ascii="Arial" w:hAnsi="Arial" w:eastAsia="Arial"/>
          <w:i w:val="0"/>
          <w:color w:val="162019"/>
          <w:sz w:val="20"/>
        </w:rPr>
        <w:t>Le modèle de revenus, le mode de distribution et la valeur différenciante ne sont pas validés. Une licence irréversible prise pour paraître ouverte ou crédible peut compromettre une future cession. La décision doit suivre l’architecture, le marché et l’inventaire des dépendances.</w:t>
      </w:r>
    </w:p>
    <w:p>
      <w:r>
        <w:br w:type="page"/>
      </w:r>
    </w:p>
    <w:p>
      <w:pPr>
        <w:keepNext/>
        <w:spacing w:before="440" w:after="100"/>
      </w:pPr>
      <w:r>
        <w:rPr>
          <w:rFonts w:ascii="Arial" w:hAnsi="Arial" w:eastAsia="Arial"/>
          <w:b/>
          <w:color w:val="C6A15B"/>
          <w:sz w:val="16"/>
        </w:rPr>
        <w:t>CHAPITRE 05</w:t>
      </w:r>
    </w:p>
    <w:p>
      <w:pPr>
        <w:pStyle w:val="Heading1"/>
        <w:pageBreakBefore w:val="0"/>
      </w:pPr>
      <w:r>
        <w:t>Marques, noms et domaines</w:t>
      </w:r>
    </w:p>
    <w:tbl>
      <w:tblPr>
        <w:tblStyle w:val="TableGrid"/>
        <w:tblW w:type="dxa" w:w="9500"/>
        <w:jc w:val="left"/>
        <w:tblLayout w:type="fixed"/>
        <w:tblLook w:firstColumn="1" w:firstRow="1" w:lastColumn="0" w:lastRow="0" w:noHBand="0" w:noVBand="1" w:val="04A0"/>
        <w:tblInd w:w="120" w:type="dxa"/>
      </w:tblPr>
      <w:tblGrid>
        <w:gridCol w:w="2600"/>
        <w:gridCol w:w="3450"/>
        <w:gridCol w:w="3450"/>
      </w:tblGrid>
      <w:tr>
        <w:trPr>
          <w:tblHeader w:val="true"/>
          <w:cantSplit/>
        </w:trPr>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Contrôle</w:t>
            </w:r>
          </w:p>
        </w:tc>
        <w:tc>
          <w:tcPr>
            <w:tcW w:type="dxa" w:w="34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Pacturion</w:t>
            </w:r>
          </w:p>
        </w:tc>
        <w:tc>
          <w:tcPr>
            <w:tcW w:type="dxa" w:w="34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VERIDIA Protocol</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Recherche d’antériorités</w:t>
            </w:r>
          </w:p>
        </w:tc>
        <w:tc>
          <w:tcPr>
            <w:tcW w:type="dxa" w:w="3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réaliser/archiver</w:t>
            </w:r>
          </w:p>
        </w:tc>
        <w:tc>
          <w:tcPr>
            <w:tcW w:type="dxa" w:w="3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réaliser/archiver</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Dépôt</w:t>
            </w:r>
          </w:p>
        </w:tc>
        <w:tc>
          <w:tcPr>
            <w:tcW w:type="dxa" w:w="3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 numéro revendiqué</w:t>
            </w:r>
          </w:p>
        </w:tc>
        <w:tc>
          <w:tcPr>
            <w:tcW w:type="dxa" w:w="3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 numéro revendiqué</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Domaine</w:t>
            </w:r>
          </w:p>
        </w:tc>
        <w:tc>
          <w:tcPr>
            <w:tcW w:type="dxa" w:w="3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pacturion.com réservé</w:t>
            </w:r>
          </w:p>
        </w:tc>
        <w:tc>
          <w:tcPr>
            <w:tcW w:type="dxa" w:w="3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décider</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Classes/territoires</w:t>
            </w:r>
          </w:p>
        </w:tc>
        <w:tc>
          <w:tcPr>
            <w:tcW w:type="dxa" w:w="3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définir selon produits réels</w:t>
            </w:r>
          </w:p>
        </w:tc>
        <w:tc>
          <w:tcPr>
            <w:tcW w:type="dxa" w:w="3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définir</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Preuves d’usage</w:t>
            </w:r>
          </w:p>
        </w:tc>
        <w:tc>
          <w:tcPr>
            <w:tcW w:type="dxa" w:w="3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Site, documents, page LinkedIn</w:t>
            </w:r>
          </w:p>
        </w:tc>
        <w:tc>
          <w:tcPr>
            <w:tcW w:type="dxa" w:w="3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Documentation technique</w:t>
            </w:r>
          </w:p>
        </w:tc>
      </w:tr>
    </w:tbl>
    <w:p>
      <w:pPr>
        <w:spacing w:after="40"/>
      </w:pPr>
    </w:p>
    <w:p>
      <w:pPr>
        <w:pStyle w:val="Heading2"/>
      </w:pPr>
      <w:r>
        <w:t>Règles d’usage</w:t>
      </w:r>
    </w:p>
    <w:p>
      <w:pPr>
        <w:numPr>
          <w:ilvl w:val="0"/>
          <w:numId w:val="17"/>
        </w:numPr>
        <w:spacing w:after="80" w:line="283" w:lineRule="auto"/>
      </w:pPr>
      <w:r>
        <w:rPr>
          <w:rFonts w:ascii="Arial" w:hAnsi="Arial" w:eastAsia="Arial"/>
          <w:color w:val="162019"/>
          <w:sz w:val="20"/>
        </w:rPr>
        <w:t>aucun logo partenaire sans permission écrite ;</w:t>
      </w:r>
    </w:p>
    <w:p>
      <w:pPr>
        <w:numPr>
          <w:ilvl w:val="0"/>
          <w:numId w:val="17"/>
        </w:numPr>
        <w:spacing w:after="80" w:line="283" w:lineRule="auto"/>
      </w:pPr>
      <w:r>
        <w:rPr>
          <w:rFonts w:ascii="Arial" w:hAnsi="Arial" w:eastAsia="Arial"/>
          <w:color w:val="162019"/>
          <w:sz w:val="20"/>
        </w:rPr>
        <w:t>aucune utilisation de Pacturion dans un nom de produit tiers ;</w:t>
      </w:r>
    </w:p>
    <w:p>
      <w:pPr>
        <w:numPr>
          <w:ilvl w:val="0"/>
          <w:numId w:val="17"/>
        </w:numPr>
        <w:spacing w:after="80" w:line="283" w:lineRule="auto"/>
      </w:pPr>
      <w:r>
        <w:rPr>
          <w:rFonts w:ascii="Arial" w:hAnsi="Arial" w:eastAsia="Arial"/>
          <w:color w:val="162019"/>
          <w:sz w:val="20"/>
        </w:rPr>
        <w:t>guide de marque et mentions à créer avant licences ;</w:t>
      </w:r>
    </w:p>
    <w:p>
      <w:pPr>
        <w:numPr>
          <w:ilvl w:val="0"/>
          <w:numId w:val="17"/>
        </w:numPr>
        <w:spacing w:after="80" w:line="283" w:lineRule="auto"/>
      </w:pPr>
      <w:r>
        <w:rPr>
          <w:rFonts w:ascii="Arial" w:hAnsi="Arial" w:eastAsia="Arial"/>
          <w:color w:val="162019"/>
          <w:sz w:val="20"/>
        </w:rPr>
        <w:t>surveiller les noms proches après dépôt ;</w:t>
      </w:r>
    </w:p>
    <w:p>
      <w:pPr>
        <w:numPr>
          <w:ilvl w:val="0"/>
          <w:numId w:val="17"/>
        </w:numPr>
        <w:spacing w:after="80" w:line="283" w:lineRule="auto"/>
      </w:pPr>
      <w:r>
        <w:rPr>
          <w:rFonts w:ascii="Arial" w:hAnsi="Arial" w:eastAsia="Arial"/>
          <w:color w:val="162019"/>
          <w:sz w:val="20"/>
        </w:rPr>
        <w:t>ne pas utiliser ™ ou ® de manière trompeuse.</w:t>
      </w:r>
    </w:p>
    <w:p>
      <w:r>
        <w:br w:type="page"/>
      </w:r>
    </w:p>
    <w:p>
      <w:pPr>
        <w:keepNext/>
        <w:spacing w:before="440" w:after="100"/>
      </w:pPr>
      <w:r>
        <w:rPr>
          <w:rFonts w:ascii="Arial" w:hAnsi="Arial" w:eastAsia="Arial"/>
          <w:b/>
          <w:color w:val="C6A15B"/>
          <w:sz w:val="16"/>
        </w:rPr>
        <w:t>CHAPITRE 06</w:t>
      </w:r>
    </w:p>
    <w:p>
      <w:pPr>
        <w:pStyle w:val="Heading1"/>
        <w:pageBreakBefore w:val="0"/>
      </w:pPr>
      <w:r>
        <w:t>Confidentialité et secret des affaires</w:t>
      </w:r>
    </w:p>
    <w:p>
      <w:pPr>
        <w:pStyle w:val="Heading2"/>
      </w:pPr>
      <w:r>
        <w:t>Informations candidates</w:t>
      </w:r>
    </w:p>
    <w:p>
      <w:pPr>
        <w:numPr>
          <w:ilvl w:val="0"/>
          <w:numId w:val="18"/>
        </w:numPr>
        <w:spacing w:after="80" w:line="283" w:lineRule="auto"/>
      </w:pPr>
      <w:r>
        <w:rPr>
          <w:rFonts w:ascii="Arial" w:hAnsi="Arial" w:eastAsia="Arial"/>
          <w:color w:val="162019"/>
          <w:sz w:val="20"/>
        </w:rPr>
        <w:t>code et architecture non publics ;</w:t>
      </w:r>
    </w:p>
    <w:p>
      <w:pPr>
        <w:numPr>
          <w:ilvl w:val="0"/>
          <w:numId w:val="18"/>
        </w:numPr>
        <w:spacing w:after="80" w:line="283" w:lineRule="auto"/>
      </w:pPr>
      <w:r>
        <w:rPr>
          <w:rFonts w:ascii="Arial" w:hAnsi="Arial" w:eastAsia="Arial"/>
          <w:color w:val="162019"/>
          <w:sz w:val="20"/>
        </w:rPr>
        <w:t>modèles de menace et vulnérabilités ;</w:t>
      </w:r>
    </w:p>
    <w:p>
      <w:pPr>
        <w:numPr>
          <w:ilvl w:val="0"/>
          <w:numId w:val="18"/>
        </w:numPr>
        <w:spacing w:after="80" w:line="283" w:lineRule="auto"/>
      </w:pPr>
      <w:r>
        <w:rPr>
          <w:rFonts w:ascii="Arial" w:hAnsi="Arial" w:eastAsia="Arial"/>
          <w:color w:val="162019"/>
          <w:sz w:val="20"/>
        </w:rPr>
        <w:t>clés, configurations et runbooks sensibles ;</w:t>
      </w:r>
    </w:p>
    <w:p>
      <w:pPr>
        <w:numPr>
          <w:ilvl w:val="0"/>
          <w:numId w:val="18"/>
        </w:numPr>
        <w:spacing w:after="80" w:line="283" w:lineRule="auto"/>
      </w:pPr>
      <w:r>
        <w:rPr>
          <w:rFonts w:ascii="Arial" w:hAnsi="Arial" w:eastAsia="Arial"/>
          <w:color w:val="162019"/>
          <w:sz w:val="20"/>
        </w:rPr>
        <w:t>listes prospects, prix et retours non publiés ;</w:t>
      </w:r>
    </w:p>
    <w:p>
      <w:pPr>
        <w:numPr>
          <w:ilvl w:val="0"/>
          <w:numId w:val="18"/>
        </w:numPr>
        <w:spacing w:after="80" w:line="283" w:lineRule="auto"/>
      </w:pPr>
      <w:r>
        <w:rPr>
          <w:rFonts w:ascii="Arial" w:hAnsi="Arial" w:eastAsia="Arial"/>
          <w:color w:val="162019"/>
          <w:sz w:val="20"/>
        </w:rPr>
        <w:t>roadmaps détaillées et stratégies de licence ;</w:t>
      </w:r>
    </w:p>
    <w:p>
      <w:pPr>
        <w:numPr>
          <w:ilvl w:val="0"/>
          <w:numId w:val="18"/>
        </w:numPr>
        <w:spacing w:after="80" w:line="283" w:lineRule="auto"/>
      </w:pPr>
      <w:r>
        <w:rPr>
          <w:rFonts w:ascii="Arial" w:hAnsi="Arial" w:eastAsia="Arial"/>
          <w:color w:val="162019"/>
          <w:sz w:val="20"/>
        </w:rPr>
        <w:t>données et workflows partenaires.</w:t>
      </w:r>
    </w:p>
    <w:p>
      <w:pPr>
        <w:pStyle w:val="Heading2"/>
      </w:pPr>
      <w:r>
        <w:t>Mesures raisonnables</w:t>
      </w:r>
    </w:p>
    <w:tbl>
      <w:tblPr>
        <w:tblStyle w:val="TableGrid"/>
        <w:tblW w:type="dxa" w:w="9500"/>
        <w:jc w:val="left"/>
        <w:tblLayout w:type="fixed"/>
        <w:tblLook w:firstColumn="1" w:firstRow="1" w:lastColumn="0" w:lastRow="0" w:noHBand="0" w:noVBand="1" w:val="04A0"/>
        <w:tblInd w:w="120" w:type="dxa"/>
      </w:tblPr>
      <w:tblGrid>
        <w:gridCol w:w="2800"/>
        <w:gridCol w:w="6700"/>
      </w:tblGrid>
      <w:tr>
        <w:trPr>
          <w:tblHeader w:val="true"/>
          <w:cantSplit/>
        </w:trPr>
        <w:tc>
          <w:tcPr>
            <w:tcW w:type="dxa" w:w="2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Mesure</w:t>
            </w:r>
          </w:p>
        </w:tc>
        <w:tc>
          <w:tcPr>
            <w:tcW w:type="dxa" w:w="6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Classification</w:t>
            </w:r>
          </w:p>
        </w:tc>
        <w:tc>
          <w:tcPr>
            <w:tcW w:type="dxa" w:w="6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Public / interne / confidentiel / secret</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Accès</w:t>
            </w:r>
          </w:p>
        </w:tc>
        <w:tc>
          <w:tcPr>
            <w:tcW w:type="dxa" w:w="6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Liste nominative et révocation</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Contrats</w:t>
            </w:r>
          </w:p>
        </w:tc>
        <w:tc>
          <w:tcPr>
            <w:tcW w:type="dxa" w:w="6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NDA et clauses d’usage</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Technique</w:t>
            </w:r>
          </w:p>
        </w:tc>
        <w:tc>
          <w:tcPr>
            <w:tcW w:type="dxa" w:w="6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Chiffrement, secrets manager, journaux</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Marquage</w:t>
            </w:r>
          </w:p>
        </w:tc>
        <w:tc>
          <w:tcPr>
            <w:tcW w:type="dxa" w:w="6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Mention et propriétaire</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Sortie</w:t>
            </w:r>
          </w:p>
        </w:tc>
        <w:tc>
          <w:tcPr>
            <w:tcW w:type="dxa" w:w="6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Restitution/suppression/attestation</w:t>
            </w:r>
          </w:p>
        </w:tc>
      </w:tr>
    </w:tbl>
    <w:p>
      <w:pPr>
        <w:spacing w:after="40"/>
      </w:pPr>
    </w:p>
    <w:p>
      <w:pPr>
        <w:spacing w:after="140" w:line="307" w:lineRule="auto"/>
      </w:pPr>
      <w:r>
        <w:rPr>
          <w:rFonts w:ascii="Arial" w:hAnsi="Arial" w:eastAsia="Arial"/>
          <w:i w:val="0"/>
          <w:color w:val="162019"/>
          <w:sz w:val="20"/>
        </w:rPr>
        <w:t>Le secret des affaires exige notamment que l’information ne soit pas généralement connue, qu’elle ait une valeur commerciale du fait de son secret et qu’elle fasse l’objet de mesures de protection raisonnables. La simple volonté de garder une information secrète ne suffit pas.</w:t>
      </w:r>
    </w:p>
    <w:p>
      <w:r>
        <w:br w:type="page"/>
      </w:r>
    </w:p>
    <w:p>
      <w:pPr>
        <w:keepNext/>
        <w:spacing w:before="440" w:after="100"/>
      </w:pPr>
      <w:r>
        <w:rPr>
          <w:rFonts w:ascii="Arial" w:hAnsi="Arial" w:eastAsia="Arial"/>
          <w:b/>
          <w:color w:val="C6A15B"/>
          <w:sz w:val="16"/>
        </w:rPr>
        <w:t>CHAPITRE 07</w:t>
      </w:r>
    </w:p>
    <w:p>
      <w:pPr>
        <w:pStyle w:val="Heading1"/>
        <w:pageBreakBefore w:val="0"/>
      </w:pPr>
      <w:r>
        <w:t>Clauses minimales pour contributeurs</w:t>
      </w:r>
    </w:p>
    <w:tbl>
      <w:tblPr>
        <w:tblStyle w:val="TableGrid"/>
        <w:tblW w:type="dxa" w:w="9500"/>
        <w:jc w:val="left"/>
        <w:tblLayout w:type="fixed"/>
        <w:tblLook w:firstColumn="1" w:firstRow="1" w:lastColumn="0" w:lastRow="0" w:noHBand="0" w:noVBand="1" w:val="04A0"/>
        <w:tblInd w:w="120" w:type="dxa"/>
      </w:tblPr>
      <w:tblGrid>
        <w:gridCol w:w="2500"/>
        <w:gridCol w:w="7000"/>
      </w:tblGrid>
      <w:tr>
        <w:trPr>
          <w:tblHeader w:val="true"/>
          <w:cantSplit/>
        </w:trPr>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Clause</w:t>
            </w:r>
          </w:p>
        </w:tc>
        <w:tc>
          <w:tcPr>
            <w:tcW w:type="dxa" w:w="7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Exigence</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Originalité/provenance</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Déclarer sources, outils et composants tiers</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Cession/licence</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Droits précis, supports, durée, territoire, rémunération</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Garantie</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Absence d’intégration non autorisée</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Open source</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Liste préalable et approbation</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Confidentialité</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Usage borné et restitution</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Sécurité</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 secret dans les livrables</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Coopération</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Correction des défauts de droits</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Crédits</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Mentions obligatoires conservées</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NO-GO</w:t>
        <w:br/>
      </w:r>
      <w:r>
        <w:rPr>
          <w:rFonts w:ascii="Arial" w:hAnsi="Arial" w:eastAsia="Arial"/>
          <w:b w:val="0"/>
          <w:color w:val="162019"/>
          <w:sz w:val="20"/>
        </w:rPr>
        <w:t>Ne jamais accepter un dépôt, logo, dataset ou module important sans savoir qui l’a créé, sous quelles conditions et avec quelles dépendances.</w:t>
      </w:r>
    </w:p>
    <w:p>
      <w:r>
        <w:br w:type="page"/>
      </w:r>
    </w:p>
    <w:p>
      <w:pPr>
        <w:keepNext/>
        <w:spacing w:before="440" w:after="100"/>
      </w:pPr>
      <w:r>
        <w:rPr>
          <w:rFonts w:ascii="Arial" w:hAnsi="Arial" w:eastAsia="Arial"/>
          <w:b/>
          <w:color w:val="C6A15B"/>
          <w:sz w:val="16"/>
        </w:rPr>
        <w:t>CHAPITRE 08</w:t>
      </w:r>
    </w:p>
    <w:p>
      <w:pPr>
        <w:pStyle w:val="Heading1"/>
        <w:pageBreakBefore w:val="0"/>
      </w:pPr>
      <w:r>
        <w:t>Plan d’action PI en 30 jours</w:t>
      </w:r>
    </w:p>
    <w:tbl>
      <w:tblPr>
        <w:tblStyle w:val="TableGrid"/>
        <w:tblW w:type="dxa" w:w="9500"/>
        <w:jc w:val="left"/>
        <w:tblLayout w:type="fixed"/>
        <w:tblLook w:firstColumn="1" w:firstRow="1" w:lastColumn="0" w:lastRow="0" w:noHBand="0" w:noVBand="1" w:val="04A0"/>
        <w:tblInd w:w="120" w:type="dxa"/>
      </w:tblPr>
      <w:tblGrid>
        <w:gridCol w:w="1600"/>
        <w:gridCol w:w="4700"/>
        <w:gridCol w:w="3200"/>
      </w:tblGrid>
      <w:tr>
        <w:trPr>
          <w:tblHeader w:val="true"/>
          <w:cantSplit/>
        </w:trPr>
        <w:tc>
          <w:tcPr>
            <w:tcW w:type="dxa" w:w="1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Semaine</w:t>
            </w:r>
          </w:p>
        </w:tc>
        <w:tc>
          <w:tcPr>
            <w:tcW w:type="dxa" w:w="4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Action</w:t>
            </w:r>
          </w:p>
        </w:tc>
        <w:tc>
          <w:tcPr>
            <w:tcW w:type="dxa" w:w="3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Sortie</w:t>
            </w:r>
          </w:p>
        </w:tc>
      </w:tr>
      <w:tr>
        <w:trPr>
          <w:cantSplit/>
        </w:trPr>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1</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Inventorier code, docs, visuels, noms et données</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Registre complet</w:t>
            </w:r>
          </w:p>
        </w:tc>
      </w:tr>
      <w:tr>
        <w:trPr>
          <w:cantSplit/>
        </w:trPr>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1</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Identifier chaque auteur/contributeur</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Chaîne de création</w:t>
            </w:r>
          </w:p>
        </w:tc>
      </w:tr>
      <w:tr>
        <w:trPr>
          <w:cantSplit/>
        </w:trPr>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2</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Générer SBOM et collecter licences</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Matrice de conformité</w:t>
            </w:r>
          </w:p>
        </w:tc>
      </w:tr>
      <w:tr>
        <w:trPr>
          <w:cantSplit/>
        </w:trPr>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2</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Séparer composants propres et tiers</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Architecture de droits</w:t>
            </w:r>
          </w:p>
        </w:tc>
      </w:tr>
      <w:tr>
        <w:trPr>
          <w:cantSplit/>
        </w:trPr>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3</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Préparer cessions/NDA/clauses pilote</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Modèles validables</w:t>
            </w:r>
          </w:p>
        </w:tc>
      </w:tr>
      <w:tr>
        <w:trPr>
          <w:cantSplit/>
        </w:trPr>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3</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Rechercher les antériorités de marque</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Rapport de recherche</w:t>
            </w:r>
          </w:p>
        </w:tc>
      </w:tr>
      <w:tr>
        <w:trPr>
          <w:cantSplit/>
        </w:trPr>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4</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Décider dépôts et politique de licence</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Décision signée</w:t>
            </w:r>
          </w:p>
        </w:tc>
      </w:tr>
      <w:tr>
        <w:trPr>
          <w:cantSplit/>
        </w:trPr>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4</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Classer les preuves dans la data room</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Dossier auditable</w:t>
            </w:r>
          </w:p>
        </w:tc>
      </w:tr>
    </w:tbl>
    <w:p>
      <w:pPr>
        <w:spacing w:after="40"/>
      </w:pPr>
    </w:p>
    <w:p>
      <w:r>
        <w:br w:type="page"/>
      </w:r>
    </w:p>
    <w:p>
      <w:pPr>
        <w:keepNext/>
        <w:spacing w:before="440" w:after="100"/>
      </w:pPr>
      <w:r>
        <w:rPr>
          <w:rFonts w:ascii="Arial" w:hAnsi="Arial" w:eastAsia="Arial"/>
          <w:b/>
          <w:color w:val="C6A15B"/>
          <w:sz w:val="16"/>
        </w:rPr>
        <w:t>CHAPITRE A</w:t>
      </w:r>
    </w:p>
    <w:p>
      <w:pPr>
        <w:pStyle w:val="Heading1"/>
        <w:pageBreakBefore w:val="0"/>
      </w:pPr>
      <w:r>
        <w:t>Registres prêts à remplir</w:t>
      </w:r>
    </w:p>
    <w:p>
      <w:pPr>
        <w:pStyle w:val="Heading2"/>
      </w:pPr>
      <w:r>
        <w:t>Contributions</w:t>
      </w:r>
    </w:p>
    <w:tbl>
      <w:tblPr>
        <w:tblStyle w:val="TableGrid"/>
        <w:tblW w:type="dxa" w:w="9500"/>
        <w:jc w:val="left"/>
        <w:tblLayout w:type="fixed"/>
        <w:tblLook w:firstColumn="1" w:firstRow="1" w:lastColumn="0" w:lastRow="0" w:noHBand="0" w:noVBand="1" w:val="04A0"/>
        <w:tblInd w:w="120" w:type="dxa"/>
      </w:tblPr>
      <w:tblGrid>
        <w:gridCol w:w="1200"/>
        <w:gridCol w:w="2200"/>
        <w:gridCol w:w="1600"/>
        <w:gridCol w:w="1300"/>
        <w:gridCol w:w="1900"/>
        <w:gridCol w:w="1300"/>
      </w:tblGrid>
      <w:tr>
        <w:trPr>
          <w:tblHeader w:val="true"/>
          <w:cantSplit/>
        </w:trPr>
        <w:tc>
          <w:tcPr>
            <w:tcW w:type="dxa" w:w="1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Actif</w:t>
            </w:r>
          </w:p>
        </w:tc>
        <w:tc>
          <w:tcPr>
            <w:tcW w:type="dxa" w:w="1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Auteur</w:t>
            </w:r>
          </w:p>
        </w:tc>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Base juridique</w:t>
            </w:r>
          </w:p>
        </w:tc>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IP-001</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[ACTIF]</w:t>
            </w:r>
          </w:p>
        </w:tc>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[NOM]</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[DATE]</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[CESSION/LICENCE]</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[LIEN]</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IP-002</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[ACTIF]</w:t>
            </w:r>
          </w:p>
        </w:tc>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[NOM]</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[DATE]</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[CESSION/LICENCE]</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[LIEN]</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IP-003</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[ACTIF]</w:t>
            </w:r>
          </w:p>
        </w:tc>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[NOM]</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[DATE]</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[CESSION/LICENCE]</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[LIEN]</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IP-004</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[ACTIF]</w:t>
            </w:r>
          </w:p>
        </w:tc>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[NOM]</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[DATE]</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[CESSION/LICENCE]</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[LIEN]</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IP-005</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[ACTIF]</w:t>
            </w:r>
          </w:p>
        </w:tc>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[NOM]</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[DATE]</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[CESSION/LICENCE]</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[LIEN]</w:t>
            </w:r>
          </w:p>
        </w:tc>
      </w:tr>
    </w:tbl>
    <w:p>
      <w:pPr>
        <w:spacing w:after="40"/>
      </w:pPr>
    </w:p>
    <w:p>
      <w:pPr>
        <w:pStyle w:val="Heading2"/>
      </w:pPr>
      <w:r>
        <w:t>Décisions de licence</w:t>
      </w:r>
    </w:p>
    <w:tbl>
      <w:tblPr>
        <w:tblStyle w:val="TableGrid"/>
        <w:tblW w:type="dxa" w:w="9500"/>
        <w:jc w:val="left"/>
        <w:tblLayout w:type="fixed"/>
        <w:tblLook w:firstColumn="1" w:firstRow="1" w:lastColumn="0" w:lastRow="0" w:noHBand="0" w:noVBand="1" w:val="04A0"/>
        <w:tblInd w:w="120" w:type="dxa"/>
      </w:tblPr>
      <w:tblGrid>
        <w:gridCol w:w="2200"/>
        <w:gridCol w:w="3000"/>
        <w:gridCol w:w="2900"/>
        <w:gridCol w:w="1400"/>
      </w:tblGrid>
      <w:tr>
        <w:trPr>
          <w:tblHeader w:val="true"/>
          <w:cantSplit/>
        </w:trPr>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Composant</w:t>
            </w:r>
          </w:p>
        </w:tc>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Option</w:t>
            </w:r>
          </w:p>
        </w:tc>
        <w:tc>
          <w:tcPr>
            <w:tcW w:type="dxa" w:w="2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Motif</w:t>
            </w:r>
          </w:p>
        </w:tc>
        <w:tc>
          <w:tcPr>
            <w:tcW w:type="dxa" w:w="1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Approbation</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PROPRIÉTAIRE / SOURCE-AVAILABLE / OSS</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[MOTIF]</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[NOM/DATE]</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PROPRIÉTAIRE / SOURCE-AVAILABLE / OSS</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[MOTIF]</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[NOM/DATE]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PROPRIÉTAIRE / SOURCE-AVAILABLE / OSS</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[MOTIF]</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[NOM/DATE]</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PROPRIÉTAIRE / SOURCE-AVAILABLE / OSS</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[MOTIF]</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[NOM/DATE]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PROPRIÉTAIRE / SOURCE-AVAILABLE / OSS</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[MOTIF]</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[NOM/DATE]</w:t>
            </w:r>
          </w:p>
        </w:tc>
      </w:tr>
    </w:tbl>
    <w:p>
      <w:pPr>
        <w:spacing w:after="40"/>
      </w:pPr>
    </w:p>
    <w:p>
      <w:pPr>
        <w:pStyle w:val="Heading2"/>
      </w:pPr>
      <w:r>
        <w:t>Références officielles</w:t>
      </w:r>
    </w:p>
    <w:p>
      <w:pPr>
        <w:spacing w:after="80"/>
      </w:pPr>
      <w:r>
        <w:rPr>
          <w:rFonts w:ascii="Arial" w:hAnsi="Arial" w:eastAsia="Arial"/>
          <w:b/>
          <w:color w:val="162019"/>
          <w:sz w:val="16"/>
        </w:rPr>
        <w:t xml:space="preserve">Code de la propriété intellectuelle, art. L112-2 — </w:t>
      </w:r>
      <w:r>
        <w:rPr>
          <w:rFonts w:ascii="Arial" w:hAnsi="Arial" w:eastAsia="Arial"/>
          <w:color w:val="155A3E"/>
          <w:sz w:val="16"/>
        </w:rPr>
        <w:t>https://www.legifrance.gouv.fr/codes/article_lc/LEGIARTI000006278875</w:t>
      </w:r>
    </w:p>
    <w:p>
      <w:pPr>
        <w:spacing w:after="80"/>
      </w:pPr>
      <w:r>
        <w:rPr>
          <w:rFonts w:ascii="Arial" w:hAnsi="Arial" w:eastAsia="Arial"/>
          <w:b/>
          <w:color w:val="162019"/>
          <w:sz w:val="16"/>
        </w:rPr>
        <w:t xml:space="preserve">Code de la propriété intellectuelle, art. L113-9 — </w:t>
      </w:r>
      <w:r>
        <w:rPr>
          <w:rFonts w:ascii="Arial" w:hAnsi="Arial" w:eastAsia="Arial"/>
          <w:color w:val="155A3E"/>
          <w:sz w:val="16"/>
        </w:rPr>
        <w:t>https://www.legifrance.gouv.fr/codes/article_lc/LEGIARTI000039279818</w:t>
      </w:r>
    </w:p>
    <w:p>
      <w:pPr>
        <w:spacing w:after="80"/>
      </w:pPr>
      <w:r>
        <w:rPr>
          <w:rFonts w:ascii="Arial" w:hAnsi="Arial" w:eastAsia="Arial"/>
          <w:b/>
          <w:color w:val="162019"/>
          <w:sz w:val="16"/>
        </w:rPr>
        <w:t xml:space="preserve">Code de la propriété intellectuelle, art. L122-6 — </w:t>
      </w:r>
      <w:r>
        <w:rPr>
          <w:rFonts w:ascii="Arial" w:hAnsi="Arial" w:eastAsia="Arial"/>
          <w:color w:val="155A3E"/>
          <w:sz w:val="16"/>
        </w:rPr>
        <w:t>https://www.legifrance.gouv.fr/codes/article_lc/LEGIARTI000006278919</w:t>
      </w:r>
    </w:p>
    <w:p>
      <w:pPr>
        <w:spacing w:after="80"/>
      </w:pPr>
      <w:r>
        <w:rPr>
          <w:rFonts w:ascii="Arial" w:hAnsi="Arial" w:eastAsia="Arial"/>
          <w:b/>
          <w:color w:val="162019"/>
          <w:sz w:val="16"/>
        </w:rPr>
        <w:t xml:space="preserve">Code de commerce, art. L151-1 — </w:t>
      </w:r>
      <w:r>
        <w:rPr>
          <w:rFonts w:ascii="Arial" w:hAnsi="Arial" w:eastAsia="Arial"/>
          <w:color w:val="155A3E"/>
          <w:sz w:val="16"/>
        </w:rPr>
        <w:t>https://www.legifrance.gouv.fr/codes/article_lc/LEGIARTI000037266553</w:t>
      </w:r>
    </w:p>
    <w:sectPr w:rsidR="00FC693F" w:rsidRPr="0006063C" w:rsidSect="00034616">
      <w:headerReference w:type="default" r:id="rId9"/>
      <w:footerReference w:type="default" r:id="rId10"/>
      <w:pgSz w:w="11906" w:h="16838"/>
      <w:pgMar w:top="1077" w:right="1134" w:bottom="1020"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 w:pos="9411" w:val="right"/>
      </w:tabs>
      <w:jc w:val="right"/>
    </w:pPr>
    <w:r>
      <w:rPr>
        <w:rFonts w:ascii="Arial" w:hAnsi="Arial" w:eastAsia="Arial"/>
        <w:color w:val="66736B"/>
        <w:sz w:val="14"/>
      </w:rPr>
      <w:t>PACTURION — PI &amp; LICENCES V1.0</w:t>
    </w:r>
    <w:r>
      <w:rPr>
        <w:rFonts w:ascii="Arial" w:hAnsi="Arial" w:eastAsia="Arial"/>
        <w:b/>
        <w:color w:val="C6A15B"/>
        <w:sz w:val="14"/>
      </w:rPr>
      <w:tab/>
      <w:t xml:space="preserve">DOCUMENT CONTRÔLÉ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b/>
        <w:color w:val="66736B"/>
        <w:sz w:val="15"/>
      </w:rPr>
      <w:t>PACTURION   |   PROPRIÉTÉ INTELLECTUELLE ET LICENCES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pPr>
      <w:rPr>
        <w:color w:val="C6A15B"/>
      </w:rPr>
    </w:lvl>
  </w:abstractNum>
  <w:num w:numId="10">
    <w:abstractNumId w:val="9"/>
  </w:num>
  <w:abstractNum w:abstractNumId="10">
    <w:multiLevelType w:val="singleLevel"/>
    <w:lvl w:ilvl="0">
      <w:start w:val="1"/>
      <w:numFmt w:val="decimal"/>
      <w:lvlText w:val="%1."/>
      <w:suff w:val="tab"/>
      <w:pPr>
        <w:tabs>
          <w:tab w:val="num" w:pos="540"/>
        </w:tabs>
        <w:ind w:left="540" w:hanging="270"/>
      </w:pPr>
      <w:rPr>
        <w:color w:val="155A3E"/>
      </w:rPr>
    </w:lvl>
  </w:abstractNum>
  <w:num w:numId="11">
    <w:abstractNumId w:val="10"/>
  </w:num>
  <w:abstractNum w:abstractNumId="11">
    <w:multiLevelType w:val="singleLevel"/>
    <w:lvl w:ilvl="0">
      <w:start w:val="1"/>
      <w:numFmt w:val="decimal"/>
      <w:lvlText w:val="%1."/>
      <w:suff w:val="tab"/>
      <w:pPr>
        <w:tabs>
          <w:tab w:val="num" w:pos="540"/>
        </w:tabs>
        <w:ind w:left="540" w:hanging="270"/>
      </w:pPr>
      <w:rPr>
        <w:color w:val="155A3E"/>
      </w:rPr>
    </w:lvl>
  </w:abstractNum>
  <w:num w:numId="12">
    <w:abstractNumId w:val="11"/>
  </w:num>
  <w:abstractNum w:abstractNumId="12">
    <w:multiLevelType w:val="singleLevel"/>
    <w:lvl w:ilvl="0">
      <w:start w:val="1"/>
      <w:numFmt w:val="decimal"/>
      <w:lvlText w:val="%1."/>
      <w:suff w:val="tab"/>
      <w:pPr>
        <w:tabs>
          <w:tab w:val="num" w:pos="540"/>
        </w:tabs>
        <w:ind w:left="540" w:hanging="270"/>
      </w:pPr>
      <w:rPr>
        <w:color w:val="155A3E"/>
      </w:rPr>
    </w:lvl>
  </w:abstractNum>
  <w:num w:numId="13">
    <w:abstractNumId w:val="12"/>
  </w:num>
  <w:abstractNum w:abstractNumId="13">
    <w:multiLevelType w:val="singleLevel"/>
    <w:lvl w:ilvl="0">
      <w:start w:val="1"/>
      <w:numFmt w:val="decimal"/>
      <w:lvlText w:val="%1."/>
      <w:suff w:val="tab"/>
      <w:pPr>
        <w:tabs>
          <w:tab w:val="num" w:pos="540"/>
        </w:tabs>
        <w:ind w:left="540" w:hanging="270"/>
      </w:pPr>
      <w:rPr>
        <w:color w:val="155A3E"/>
      </w:rPr>
    </w:lvl>
  </w:abstractNum>
  <w:num w:numId="14">
    <w:abstractNumId w:val="13"/>
  </w:num>
  <w:abstractNum w:abstractNumId="14">
    <w:multiLevelType w:val="singleLevel"/>
    <w:lvl w:ilvl="0">
      <w:start w:val="1"/>
      <w:numFmt w:val="decimal"/>
      <w:lvlText w:val="%1."/>
      <w:suff w:val="tab"/>
      <w:pPr>
        <w:tabs>
          <w:tab w:val="num" w:pos="540"/>
        </w:tabs>
        <w:ind w:left="540" w:hanging="270"/>
      </w:pPr>
      <w:rPr>
        <w:color w:val="155A3E"/>
      </w:rPr>
    </w:lvl>
  </w:abstractNum>
  <w:num w:numId="15">
    <w:abstractNumId w:val="14"/>
  </w:num>
  <w:abstractNum w:abstractNumId="15">
    <w:multiLevelType w:val="singleLevel"/>
    <w:lvl w:ilvl="0">
      <w:start w:val="1"/>
      <w:numFmt w:val="bullet"/>
      <w:lvlText w:val="•"/>
      <w:suff w:val="tab"/>
      <w:pPr>
        <w:tabs>
          <w:tab w:val="num" w:pos="540"/>
        </w:tabs>
        <w:ind w:left="540" w:hanging="270"/>
      </w:pPr>
      <w:rPr>
        <w:color w:val="C6A15B"/>
      </w:rPr>
    </w:lvl>
  </w:abstractNum>
  <w:num w:numId="16">
    <w:abstractNumId w:val="15"/>
  </w:num>
  <w:abstractNum w:abstractNumId="16">
    <w:multiLevelType w:val="singleLevel"/>
    <w:lvl w:ilvl="0">
      <w:start w:val="1"/>
      <w:numFmt w:val="bullet"/>
      <w:lvlText w:val="•"/>
      <w:suff w:val="tab"/>
      <w:pPr>
        <w:tabs>
          <w:tab w:val="num" w:pos="540"/>
        </w:tabs>
        <w:ind w:left="540" w:hanging="270"/>
      </w:pPr>
      <w:rPr>
        <w:color w:val="C6A15B"/>
      </w:rPr>
    </w:lvl>
  </w:abstractNum>
  <w:num w:numId="17">
    <w:abstractNumId w:val="16"/>
  </w:num>
  <w:abstractNum w:abstractNumId="17">
    <w:multiLevelType w:val="singleLevel"/>
    <w:lvl w:ilvl="0">
      <w:start w:val="1"/>
      <w:numFmt w:val="bullet"/>
      <w:lvlText w:val="•"/>
      <w:suff w:val="tab"/>
      <w:pPr>
        <w:tabs>
          <w:tab w:val="num" w:pos="540"/>
        </w:tabs>
        <w:ind w:left="540" w:hanging="270"/>
      </w:pPr>
      <w:rPr>
        <w:color w:val="C6A15B"/>
      </w:rPr>
    </w:lvl>
  </w:abstract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307" w:lineRule="auto"/>
    </w:pPr>
    <w:rPr>
      <w:rFonts w:ascii="Arial" w:hAnsi="Arial"/>
      <w:color w:val="16201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rial" w:hAnsi="Arial"/>
      <w:b/>
      <w:bCs/>
      <w:color w:val="06110B"/>
      <w:sz w:val="44"/>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0D3A28"/>
      <w:sz w:val="28"/>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rial" w:hAnsi="Arial"/>
      <w:b/>
      <w:bCs/>
      <w:color w:val="155A3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eur-lex.europa.eu/eli/reg/2023/1114/oj" TargetMode="External"/><Relationship Id="rId13" Type="http://schemas.openxmlformats.org/officeDocument/2006/relationships/hyperlink" Target="https://docs.openzeppelin.com/contracts/5.x/governance" TargetMode="External"/><Relationship Id="rId14" Type="http://schemas.openxmlformats.org/officeDocument/2006/relationships/hyperlink" Target="https://docs.base.org/base-chain/network-information/" TargetMode="External"/><Relationship Id="rId15" Type="http://schemas.openxmlformats.org/officeDocument/2006/relationships/hyperlink" Target="https://www.amf-france.org/fr/espace-professionnels/fintech/mes-relations-avec-lamf/emission-admission-de-crypto-actifs" TargetMode="External"/><Relationship Id="rId16" Type="http://schemas.openxmlformats.org/officeDocument/2006/relationships/hyperlink" Target="https://eips.ethereum.org/EIPS/eip-20" TargetMode="External"/><Relationship Id="rId17" Type="http://schemas.openxmlformats.org/officeDocument/2006/relationships/hyperlink" Target="https://eips.ethereum.org/EIPS/eip-712" TargetMode="External"/><Relationship Id="rId18" Type="http://schemas.openxmlformats.org/officeDocument/2006/relationships/hyperlink" Target="https://eips.ethereum.org/EIPS/eip-12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Pacturion — Propriété intellectuelle et licences V1.0</dc:title>
  <dc:subject>Documentation Pacturion V1.0</dc:subject>
  <dc:creator>Pacturion</dc:creator>
  <cp:keywords>Pacturion, VERIDIA Protocol, engagements vérifiables, ALPHA, BCS, Base</cp:keywords>
  <dc:description>Document de travail contrôlé — ne constitue pas une offre au public.</dc:description>
  <cp:lastModifiedBy/>
  <cp:revision>1</cp:revision>
  <dcterms:created xsi:type="dcterms:W3CDTF">2013-12-23T23:15:00Z</dcterms:created>
  <dcterms:modified xsi:type="dcterms:W3CDTF">2013-12-23T23:15:00Z</dcterms:modified>
  <cp:category/>
</cp:coreProperties>
</file>