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6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50"/>
        </w:rPr>
        <w:t>SÉCURITÉ ET GESTION DES INCIDENTS</w:t>
      </w:r>
    </w:p>
    <w:p>
      <w:pPr>
        <w:spacing w:after="160"/>
      </w:pPr>
      <w:r>
        <w:rPr>
          <w:rFonts w:ascii="Arial" w:hAnsi="Arial" w:eastAsia="Arial"/>
          <w:color w:val="155A3E"/>
          <w:sz w:val="34"/>
        </w:rPr>
        <w:t>Dossier opérationnel V1.0</w:t>
      </w:r>
    </w:p>
    <w:p>
      <w:pPr>
        <w:spacing w:after="400"/>
      </w:pPr>
      <w:r>
        <w:rPr>
          <w:rFonts w:ascii="Arial" w:hAnsi="Arial" w:eastAsia="Arial"/>
          <w:color w:val="162019"/>
          <w:sz w:val="23"/>
        </w:rPr>
        <w:t>Politique, responsabilités, détection, réponse, reprise et preuves.</w:t>
      </w:r>
    </w:p>
    <w:tbl>
      <w:tblPr>
        <w:tblStyle w:val="TableGrid"/>
        <w:tblW w:type="dxa" w:w="9500"/>
        <w:jc w:val="left"/>
        <w:tblLayout w:type="fixed"/>
        <w:tblLook w:firstColumn="1" w:firstRow="1" w:lastColumn="0" w:lastRow="0" w:noHBand="0" w:noVBand="1" w:val="04A0"/>
        <w:tblInd w:w="120" w:type="dxa"/>
      </w:tblPr>
      <w:tblGrid>
        <w:gridCol w:w="1300"/>
        <w:gridCol w:w="2100"/>
        <w:gridCol w:w="3400"/>
        <w:gridCol w:w="27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CIBLE CONTRÔLÉE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Pacturion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STATUT</w:t>
        <w:br/>
      </w:r>
      <w:r>
        <w:rPr>
          <w:rFonts w:ascii="Arial" w:hAnsi="Arial" w:eastAsia="Arial"/>
          <w:b w:val="0"/>
          <w:color w:val="162019"/>
          <w:sz w:val="20"/>
        </w:rPr>
        <w:t>Ce dossier définit le dispositif de sécurité cible de Pacturion. Il ne prouve pas que tous les contrôles sont déployés, testés ou opérés. L’audit indépendant n’est pas réalisé et la Release Candidate reste un PASS déclaré non corroboré.</w:t>
      </w:r>
    </w:p>
    <w:p>
      <w:pPr>
        <w:spacing w:before="480"/>
      </w:pPr>
      <w:r>
        <w:rPr>
          <w:rFonts w:ascii="Arial" w:hAnsi="Arial" w:eastAsia="Arial"/>
          <w:b/>
          <w:color w:val="C6A15B"/>
          <w:sz w:val="22"/>
        </w:rPr>
        <w:t>Prévenir. Détecter. Contenir. Prouver. Reprendre.</w:t>
      </w:r>
    </w:p>
    <w:p>
      <w:r>
        <w:br w:type="page"/>
      </w:r>
    </w:p>
    <w:p>
      <w:pPr>
        <w:keepNext/>
        <w:spacing w:before="440" w:after="100"/>
      </w:pPr>
      <w:r>
        <w:rPr>
          <w:rFonts w:ascii="Arial" w:hAnsi="Arial" w:eastAsia="Arial"/>
          <w:b/>
          <w:color w:val="C6A15B"/>
          <w:sz w:val="16"/>
        </w:rPr>
        <w:t>CHAPITRE 00</w:t>
      </w:r>
    </w:p>
    <w:p>
      <w:pPr>
        <w:pStyle w:val="Heading1"/>
        <w:pageBreakBefore w:val="0"/>
      </w:pPr>
      <w:r>
        <w:t>Contrôle du document</w:t>
      </w:r>
    </w:p>
    <w:tbl>
      <w:tblPr>
        <w:tblStyle w:val="TableGrid"/>
        <w:tblW w:type="dxa" w:w="9500"/>
        <w:jc w:val="left"/>
        <w:tblLayout w:type="fixed"/>
        <w:tblLook w:firstColumn="1" w:firstRow="1" w:lastColumn="0" w:lastRow="0" w:noHBand="0" w:noVBand="1" w:val="04A0"/>
        <w:tblInd w:w="120" w:type="dxa"/>
      </w:tblPr>
      <w:tblGrid>
        <w:gridCol w:w="2700"/>
        <w:gridCol w:w="6800"/>
      </w:tblGrid>
      <w:tr>
        <w:trPr>
          <w:tblHeader w:val="true"/>
          <w:cantSplit/>
        </w:trPr>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Entité</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Infrastructure</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Protocol</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Produit</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ALPHA — hypothèse produit interne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Environnement autorisé</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Local et testnet borné ; Base Sepolia chain ID 84532 si prouvé</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Mainnet / fonds réels</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autorisés</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Token / fonction économique</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autorisés dans ALPHA à ce stade</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indépendant</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réalisé</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Propriétaire de politique</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 — rôle à nommer</w:t>
            </w:r>
          </w:p>
        </w:tc>
      </w:tr>
      <w:tr>
        <w:trPr>
          <w:cantSplit/>
        </w:trPr>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Révision</w:t>
            </w:r>
          </w:p>
        </w:tc>
        <w:tc>
          <w:tcPr>
            <w:tcW w:type="dxa" w:w="6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Après incident majeur, changement d’architecture ou au minimum selon calendrier interne</w:t>
            </w:r>
          </w:p>
        </w:tc>
      </w:tr>
      <w:tr>
        <w:trPr>
          <w:cantSplit/>
        </w:trPr>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Diffusion</w:t>
            </w:r>
          </w:p>
        </w:tc>
        <w:tc>
          <w:tcPr>
            <w:tcW w:type="dxa" w:w="6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Interne contrôlée ; extraits externes après revue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RÈGLE D’INTERPRÉTATION</w:t>
        <w:br/>
      </w:r>
      <w:r>
        <w:rPr>
          <w:rFonts w:ascii="Arial" w:hAnsi="Arial" w:eastAsia="Arial"/>
          <w:b w:val="0"/>
          <w:color w:val="162019"/>
          <w:sz w:val="20"/>
        </w:rPr>
        <w:t>Les termes « doit » et « interdit » sont normatifs. Les états « À IMPLÉMENTER », « À TESTER » et « À PROUVER » décrivent la maturité documentaire actuelle.</w:t>
      </w:r>
    </w:p>
    <w:p>
      <w:pPr>
        <w:pStyle w:val="Heading2"/>
      </w:pPr>
      <w:r>
        <w:t>Table des matières</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Mandat, gouvernance et principes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Actifs, menaces et frontières de confiance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Identités, accès et gestion des clés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Développement sécurisé et changements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Vulnérabilités et risques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Journalisation, détection et alertes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Classification et cycle de réponse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Playbooks d’incident</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Communication et conservation des preuves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10</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Continuité, reprise et exercices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Registres, métriques et annexes</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Mandat, gouvernance et principes</w:t>
      </w:r>
    </w:p>
    <w:p>
      <w:pPr>
        <w:keepNext/>
        <w:spacing w:after="320"/>
      </w:pPr>
      <w:r>
        <w:rPr>
          <w:rFonts w:ascii="Arial" w:hAnsi="Arial" w:eastAsia="Arial"/>
          <w:i/>
          <w:color w:val="66736B"/>
          <w:sz w:val="25"/>
        </w:rPr>
        <w:t>La sécurité protège une décision explicable ; elle ne se limite pas à empêcher un vol.</w:t>
      </w:r>
    </w:p>
    <w:p>
      <w:pPr>
        <w:pStyle w:val="Heading2"/>
      </w:pPr>
      <w:r>
        <w:t>Objectifs</w:t>
      </w:r>
    </w:p>
    <w:p>
      <w:pPr>
        <w:numPr>
          <w:ilvl w:val="0"/>
          <w:numId w:val="16"/>
        </w:numPr>
        <w:spacing w:after="80" w:line="283" w:lineRule="auto"/>
      </w:pPr>
      <w:r>
        <w:rPr>
          <w:rFonts w:ascii="Arial" w:hAnsi="Arial" w:eastAsia="Arial"/>
          <w:color w:val="162019"/>
          <w:sz w:val="20"/>
        </w:rPr>
        <w:t>empêcher une création, modification ou clôture non autorisée d’un engagement ;</w:t>
      </w:r>
    </w:p>
    <w:p>
      <w:pPr>
        <w:numPr>
          <w:ilvl w:val="0"/>
          <w:numId w:val="16"/>
        </w:numPr>
        <w:spacing w:after="80" w:line="283" w:lineRule="auto"/>
      </w:pPr>
      <w:r>
        <w:rPr>
          <w:rFonts w:ascii="Arial" w:hAnsi="Arial" w:eastAsia="Arial"/>
          <w:color w:val="162019"/>
          <w:sz w:val="20"/>
        </w:rPr>
        <w:t>éviter un faux PROVIDER_FAULT ou toute conséquence injustifiée ;</w:t>
      </w:r>
    </w:p>
    <w:p>
      <w:pPr>
        <w:numPr>
          <w:ilvl w:val="0"/>
          <w:numId w:val="16"/>
        </w:numPr>
        <w:spacing w:after="80" w:line="283" w:lineRule="auto"/>
      </w:pPr>
      <w:r>
        <w:rPr>
          <w:rFonts w:ascii="Arial" w:hAnsi="Arial" w:eastAsia="Arial"/>
          <w:color w:val="162019"/>
          <w:sz w:val="20"/>
        </w:rPr>
        <w:t>préserver l’intégrité, la provenance et la reproductibilité des preuves ;</w:t>
      </w:r>
    </w:p>
    <w:p>
      <w:pPr>
        <w:numPr>
          <w:ilvl w:val="0"/>
          <w:numId w:val="16"/>
        </w:numPr>
        <w:spacing w:after="80" w:line="283" w:lineRule="auto"/>
      </w:pPr>
      <w:r>
        <w:rPr>
          <w:rFonts w:ascii="Arial" w:hAnsi="Arial" w:eastAsia="Arial"/>
          <w:color w:val="162019"/>
          <w:sz w:val="20"/>
        </w:rPr>
        <w:t>contenir rapidement un incident sans détruire les éléments nécessaires à l’analyse ;</w:t>
      </w:r>
    </w:p>
    <w:p>
      <w:pPr>
        <w:numPr>
          <w:ilvl w:val="0"/>
          <w:numId w:val="16"/>
        </w:numPr>
        <w:spacing w:after="80" w:line="283" w:lineRule="auto"/>
      </w:pPr>
      <w:r>
        <w:rPr>
          <w:rFonts w:ascii="Arial" w:hAnsi="Arial" w:eastAsia="Arial"/>
          <w:color w:val="162019"/>
          <w:sz w:val="20"/>
        </w:rPr>
        <w:t>restaurer un état cohérent et démontrer ce qui a été perdu, repris ou invalidé ;</w:t>
      </w:r>
    </w:p>
    <w:p>
      <w:pPr>
        <w:numPr>
          <w:ilvl w:val="0"/>
          <w:numId w:val="16"/>
        </w:numPr>
        <w:spacing w:after="80" w:line="283" w:lineRule="auto"/>
      </w:pPr>
      <w:r>
        <w:rPr>
          <w:rFonts w:ascii="Arial" w:hAnsi="Arial" w:eastAsia="Arial"/>
          <w:color w:val="162019"/>
          <w:sz w:val="20"/>
        </w:rPr>
        <w:t>maintenir une communication exacte, proportionnée et traçable.</w:t>
      </w:r>
    </w:p>
    <w:p>
      <w:pPr>
        <w:pStyle w:val="Heading2"/>
      </w:pPr>
      <w:r>
        <w:t>Principes de contrôle</w:t>
      </w:r>
    </w:p>
    <w:tbl>
      <w:tblPr>
        <w:tblStyle w:val="TableGrid"/>
        <w:tblW w:type="dxa" w:w="9500"/>
        <w:jc w:val="left"/>
        <w:tblLayout w:type="fixed"/>
        <w:tblLook w:firstColumn="1" w:firstRow="1" w:lastColumn="0" w:lastRow="0" w:noHBand="0" w:noVBand="1" w:val="04A0"/>
        <w:tblInd w:w="120" w:type="dxa"/>
      </w:tblPr>
      <w:tblGrid>
        <w:gridCol w:w="2600"/>
        <w:gridCol w:w="6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Principe</w:t>
            </w:r>
          </w:p>
        </w:tc>
        <w:tc>
          <w:tcPr>
            <w:tcW w:type="dxa" w:w="6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Règle Pacturion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 closed</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Une preuve insuffisante produit UNDETERMINED, jamais une faute inventée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Moindre privilège</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Chaque identité possède uniquement les droits nécessaires et révocables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Séparation</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Développement, approbation, déploiement et décision d’incident sont distincts lorsque possible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Immutabilité</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Les paramètres critiques acceptés et les preuves terminales ne sont pas réécrits</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Réversibilité</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Tout changement risqué prévoit arrêt, rollback ou migration contrôlée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Traçabilité</w:t>
            </w:r>
          </w:p>
        </w:tc>
        <w:tc>
          <w:tcPr>
            <w:tcW w:type="dxa" w:w="6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Actions privilégiées, décisions et changements sont horodatés et rattachés à une identité</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Minimisation</w:t>
            </w:r>
          </w:p>
        </w:tc>
        <w:tc>
          <w:tcPr>
            <w:tcW w:type="dxa" w:w="6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Aucun secret ou contenu sensible inutile dans chaîne, dépôt, logs ou rapports</w:t>
            </w:r>
          </w:p>
        </w:tc>
      </w:tr>
    </w:tbl>
    <w:p>
      <w:pPr>
        <w:spacing w:after="40"/>
      </w:pPr>
    </w:p>
    <w:p>
      <w:pPr>
        <w:pStyle w:val="Heading2"/>
      </w:pPr>
      <w:r>
        <w:t>Gouvernance minimale</w:t>
      </w:r>
    </w:p>
    <w:tbl>
      <w:tblPr>
        <w:tblStyle w:val="TableGrid"/>
        <w:tblW w:type="dxa" w:w="9500"/>
        <w:jc w:val="left"/>
        <w:tblLayout w:type="fixed"/>
        <w:tblLook w:firstColumn="1" w:firstRow="1" w:lastColumn="0" w:lastRow="0" w:noHBand="0" w:noVBand="1" w:val="04A0"/>
        <w:tblInd w:w="120" w:type="dxa"/>
      </w:tblPr>
      <w:tblGrid>
        <w:gridCol w:w="2200"/>
        <w:gridCol w:w="5000"/>
        <w:gridCol w:w="23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5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Cumul possible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Security owner</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Politique, risques, décision de crise et suivi</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 documenté</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 commander</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Coordonne l’incident et tient la chronologie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 hors conflit</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Technical lead</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Diagnostic, confinement et restauration</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Evidence custodian</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Préserve artefacts, hashes et accès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 hors auteur du finding si possible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Communication owner</w:t>
            </w:r>
          </w:p>
        </w:tc>
        <w:tc>
          <w:tcPr>
            <w:tcW w:type="dxa" w:w="5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Messages internes et externes approuvés</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Legal / privacy reviewer</w:t>
            </w:r>
          </w:p>
        </w:tc>
        <w:tc>
          <w:tcPr>
            <w:tcW w:type="dxa" w:w="5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Qualifie obligations et notifications applicables</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Externe possible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PETITE ÉQUIPE</w:t>
        <w:br/>
      </w:r>
      <w:r>
        <w:rPr>
          <w:rFonts w:ascii="Arial" w:hAnsi="Arial" w:eastAsia="Arial"/>
          <w:b w:val="0"/>
          <w:color w:val="162019"/>
          <w:sz w:val="20"/>
        </w:rPr>
        <w:t>Une même personne peut cumuler plusieurs rôles, mais les cumuls, conflits et validations indépendantes manquantes doivent être consignés. Un intitulé de rôle ne prouve pas qu’une capacité est effectivement disponible.</w:t>
      </w:r>
    </w:p>
    <w:p>
      <w:pPr>
        <w:keepNext/>
        <w:spacing w:before="440" w:after="100"/>
      </w:pPr>
      <w:r>
        <w:rPr>
          <w:rFonts w:ascii="Arial" w:hAnsi="Arial" w:eastAsia="Arial"/>
          <w:b/>
          <w:color w:val="C6A15B"/>
          <w:sz w:val="16"/>
        </w:rPr>
        <w:t>CHAPITRE 02</w:t>
      </w:r>
    </w:p>
    <w:p>
      <w:pPr>
        <w:pStyle w:val="Heading1"/>
        <w:pageBreakBefore w:val="0"/>
      </w:pPr>
      <w:r>
        <w:t>Actifs, menaces et frontières de confiance</w:t>
      </w:r>
    </w:p>
    <w:p>
      <w:pPr>
        <w:pStyle w:val="Heading2"/>
      </w:pPr>
      <w:r>
        <w:t>Actifs critiques</w:t>
      </w:r>
    </w:p>
    <w:tbl>
      <w:tblPr>
        <w:tblStyle w:val="TableGrid"/>
        <w:tblW w:type="dxa" w:w="9500"/>
        <w:jc w:val="left"/>
        <w:tblLayout w:type="fixed"/>
        <w:tblLook w:firstColumn="1" w:firstRow="1" w:lastColumn="0" w:lastRow="0" w:noHBand="0" w:noVBand="1" w:val="04A0"/>
        <w:tblInd w:w="120" w:type="dxa"/>
      </w:tblPr>
      <w:tblGrid>
        <w:gridCol w:w="2100"/>
        <w:gridCol w:w="4000"/>
        <w:gridCol w:w="34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Actif</w:t>
            </w:r>
          </w:p>
        </w:tc>
        <w:tc>
          <w:tcPr>
            <w:tcW w:type="dxa" w:w="4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Impact d’une compromission</w:t>
            </w:r>
          </w:p>
        </w:tc>
        <w:tc>
          <w:tcPr>
            <w:tcW w:type="dxa" w:w="3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Protection minimale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Clés privilégiées</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Contrôle ou altération du système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Stockage séparé, rotation, révocation, journal</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Contrats / bytecodes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Logique différente de la candidate</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Reproductibilité, hash, vérification et rôles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Politiques de preuve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Classification fausse ou manipulée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 approbation et immutabilité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Collecteurs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forgée, absente ou biaisée</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Authentification et trust domains explicites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Indexer / stockage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État incomplet ou incohérent</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Checkpoints, finalité, sauvegarde et reprise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Journaux</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Perte d’enquête ou dissimulation</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Intégrité, accès restreint et rétention</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utilisateurs</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Atteinte à la confidentialité</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Minimisation, chiffrement et suppression</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Dépôt / CI</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Injection dans la supply chain</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MFA, branches protégées, revue et artefacts signés</w:t>
            </w:r>
          </w:p>
        </w:tc>
      </w:tr>
    </w:tbl>
    <w:p>
      <w:pPr>
        <w:spacing w:after="40"/>
      </w:pPr>
    </w:p>
    <w:p>
      <w:pPr>
        <w:pStyle w:val="Heading2"/>
      </w:pPr>
      <w:r>
        <w:t>Catégories de menace</w:t>
      </w:r>
    </w:p>
    <w:p>
      <w:pPr>
        <w:numPr>
          <w:ilvl w:val="0"/>
          <w:numId w:val="17"/>
        </w:numPr>
        <w:spacing w:after="80" w:line="283" w:lineRule="auto"/>
      </w:pPr>
      <w:r>
        <w:rPr>
          <w:rFonts w:ascii="Arial" w:hAnsi="Arial" w:eastAsia="Arial"/>
          <w:color w:val="162019"/>
          <w:sz w:val="20"/>
        </w:rPr>
        <w:t>compromission d’identité, de clé, de dépôt ou de pipeline ;</w:t>
      </w:r>
    </w:p>
    <w:p>
      <w:pPr>
        <w:numPr>
          <w:ilvl w:val="0"/>
          <w:numId w:val="17"/>
        </w:numPr>
        <w:spacing w:after="80" w:line="283" w:lineRule="auto"/>
      </w:pPr>
      <w:r>
        <w:rPr>
          <w:rFonts w:ascii="Arial" w:hAnsi="Arial" w:eastAsia="Arial"/>
          <w:color w:val="162019"/>
          <w:sz w:val="20"/>
        </w:rPr>
        <w:t>déploiement d’un bytecode différent, rôle privilégié caché ou upgrade non approuvé ;</w:t>
      </w:r>
    </w:p>
    <w:p>
      <w:pPr>
        <w:numPr>
          <w:ilvl w:val="0"/>
          <w:numId w:val="17"/>
        </w:numPr>
        <w:spacing w:after="80" w:line="283" w:lineRule="auto"/>
      </w:pPr>
      <w:r>
        <w:rPr>
          <w:rFonts w:ascii="Arial" w:hAnsi="Arial" w:eastAsia="Arial"/>
          <w:color w:val="162019"/>
          <w:sz w:val="20"/>
        </w:rPr>
        <w:t>preuve forgée, source dépendante présentée comme indépendante ou faux négatif/faux positif ;</w:t>
      </w:r>
    </w:p>
    <w:p>
      <w:pPr>
        <w:numPr>
          <w:ilvl w:val="0"/>
          <w:numId w:val="17"/>
        </w:numPr>
        <w:spacing w:after="80" w:line="283" w:lineRule="auto"/>
      </w:pPr>
      <w:r>
        <w:rPr>
          <w:rFonts w:ascii="Arial" w:hAnsi="Arial" w:eastAsia="Arial"/>
          <w:color w:val="162019"/>
          <w:sz w:val="20"/>
        </w:rPr>
        <w:t>RPC divergent, reorg, finalité mal évaluée ou dépendance indisponible ;</w:t>
      </w:r>
    </w:p>
    <w:p>
      <w:pPr>
        <w:numPr>
          <w:ilvl w:val="0"/>
          <w:numId w:val="17"/>
        </w:numPr>
        <w:spacing w:after="80" w:line="283" w:lineRule="auto"/>
      </w:pPr>
      <w:r>
        <w:rPr>
          <w:rFonts w:ascii="Arial" w:hAnsi="Arial" w:eastAsia="Arial"/>
          <w:color w:val="162019"/>
          <w:sz w:val="20"/>
        </w:rPr>
        <w:t>rejeu, concurrence, double conséquence ou rupture d’idempotence ;</w:t>
      </w:r>
    </w:p>
    <w:p>
      <w:pPr>
        <w:numPr>
          <w:ilvl w:val="0"/>
          <w:numId w:val="17"/>
        </w:numPr>
        <w:spacing w:after="80" w:line="283" w:lineRule="auto"/>
      </w:pPr>
      <w:r>
        <w:rPr>
          <w:rFonts w:ascii="Arial" w:hAnsi="Arial" w:eastAsia="Arial"/>
          <w:color w:val="162019"/>
          <w:sz w:val="20"/>
        </w:rPr>
        <w:t>fuite de secrets, données personnelles ou informations de sécurité ;</w:t>
      </w:r>
    </w:p>
    <w:p>
      <w:pPr>
        <w:numPr>
          <w:ilvl w:val="0"/>
          <w:numId w:val="17"/>
        </w:numPr>
        <w:spacing w:after="80" w:line="283" w:lineRule="auto"/>
      </w:pPr>
      <w:r>
        <w:rPr>
          <w:rFonts w:ascii="Arial" w:hAnsi="Arial" w:eastAsia="Arial"/>
          <w:color w:val="162019"/>
          <w:sz w:val="20"/>
        </w:rPr>
        <w:t>erreur opérateur, procédure ambiguë, action non journalisée ou restauration destructive.</w:t>
      </w:r>
    </w:p>
    <w:p>
      <w:pPr>
        <w:pStyle w:val="Heading2"/>
      </w:pPr>
      <w:r>
        <w:t>Frontières à documenter</w:t>
      </w:r>
    </w:p>
    <w:tbl>
      <w:tblPr>
        <w:tblStyle w:val="TableGrid"/>
        <w:tblW w:type="dxa" w:w="9500"/>
        <w:jc w:val="left"/>
        <w:tblLayout w:type="fixed"/>
        <w:tblLook w:firstColumn="1" w:firstRow="1" w:lastColumn="0" w:lastRow="0" w:noHBand="0" w:noVBand="1" w:val="04A0"/>
        <w:tblInd w:w="120" w:type="dxa"/>
      </w:tblPr>
      <w:tblGrid>
        <w:gridCol w:w="2500"/>
        <w:gridCol w:w="5500"/>
        <w:gridCol w:w="15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Frontière</w:t>
            </w:r>
          </w:p>
        </w:tc>
        <w:tc>
          <w:tcPr>
            <w:tcW w:type="dxa" w:w="5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Question de sécurité</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Utilisateur → ALPHA</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Qui signe, avec quel contexte et quelle expiration ?</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ALPHA → collecteur</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Quelle source, quelle indépendance et quelle révocation ?</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Services → RPC</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Comment détecter divergence, reorg et indisponibilité ?</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Off-chain → on-chain</w:t>
            </w:r>
          </w:p>
        </w:tc>
        <w:tc>
          <w:tcPr>
            <w:tcW w:type="dxa" w:w="5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Quelle donnée est hashée, révélée ou retenue ?</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CI → testnet</w:t>
            </w:r>
          </w:p>
        </w:tc>
        <w:tc>
          <w:tcPr>
            <w:tcW w:type="dxa" w:w="5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bytecode correspond-il au commit approuvé ?</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bl>
    <w:p>
      <w:pPr>
        <w:spacing w:after="40"/>
      </w:pPr>
    </w:p>
    <w:p>
      <w:r>
        <w:br w:type="page"/>
      </w:r>
    </w:p>
    <w:p>
      <w:pPr>
        <w:keepNext/>
        <w:spacing w:before="440" w:after="100"/>
      </w:pPr>
      <w:r>
        <w:rPr>
          <w:rFonts w:ascii="Arial" w:hAnsi="Arial" w:eastAsia="Arial"/>
          <w:b/>
          <w:color w:val="C6A15B"/>
          <w:sz w:val="16"/>
        </w:rPr>
        <w:t>CHAPITRE 03</w:t>
      </w:r>
    </w:p>
    <w:p>
      <w:pPr>
        <w:pStyle w:val="Heading1"/>
        <w:pageBreakBefore w:val="0"/>
      </w:pPr>
      <w:r>
        <w:t>Identités, accès et gestion des clés</w:t>
      </w:r>
    </w:p>
    <w:p>
      <w:pPr>
        <w:pStyle w:val="Heading2"/>
      </w:pPr>
      <w:r>
        <w:t>Politique d’accès</w:t>
      </w:r>
    </w:p>
    <w:p>
      <w:pPr>
        <w:numPr>
          <w:ilvl w:val="0"/>
          <w:numId w:val="18"/>
        </w:numPr>
        <w:spacing w:after="80" w:line="283" w:lineRule="auto"/>
      </w:pPr>
      <w:r>
        <w:rPr>
          <w:rFonts w:ascii="Arial" w:hAnsi="Arial" w:eastAsia="Arial"/>
          <w:color w:val="162019"/>
          <w:sz w:val="20"/>
        </w:rPr>
        <w:t>Attribuer une identité nominative ou de service unique ; interdire les comptes partagés non traçables.</w:t>
      </w:r>
    </w:p>
    <w:p>
      <w:pPr>
        <w:numPr>
          <w:ilvl w:val="0"/>
          <w:numId w:val="18"/>
        </w:numPr>
        <w:spacing w:after="80" w:line="283" w:lineRule="auto"/>
      </w:pPr>
      <w:r>
        <w:rPr>
          <w:rFonts w:ascii="Arial" w:hAnsi="Arial" w:eastAsia="Arial"/>
          <w:color w:val="162019"/>
          <w:sz w:val="20"/>
        </w:rPr>
        <w:t>Activer une authentification forte sur dépôt, messagerie, cloud, registre et outils d’administration.</w:t>
      </w:r>
    </w:p>
    <w:p>
      <w:pPr>
        <w:numPr>
          <w:ilvl w:val="0"/>
          <w:numId w:val="18"/>
        </w:numPr>
        <w:spacing w:after="80" w:line="283" w:lineRule="auto"/>
      </w:pPr>
      <w:r>
        <w:rPr>
          <w:rFonts w:ascii="Arial" w:hAnsi="Arial" w:eastAsia="Arial"/>
          <w:color w:val="162019"/>
          <w:sz w:val="20"/>
        </w:rPr>
        <w:t>Accorder les droits via des rôles bornés, documenter la justification et la date d’expiration.</w:t>
      </w:r>
    </w:p>
    <w:p>
      <w:pPr>
        <w:numPr>
          <w:ilvl w:val="0"/>
          <w:numId w:val="18"/>
        </w:numPr>
        <w:spacing w:after="80" w:line="283" w:lineRule="auto"/>
      </w:pPr>
      <w:r>
        <w:rPr>
          <w:rFonts w:ascii="Arial" w:hAnsi="Arial" w:eastAsia="Arial"/>
          <w:color w:val="162019"/>
          <w:sz w:val="20"/>
        </w:rPr>
        <w:t>Revoir les accès après chaque changement de rôle, incident ou départ.</w:t>
      </w:r>
    </w:p>
    <w:p>
      <w:pPr>
        <w:numPr>
          <w:ilvl w:val="0"/>
          <w:numId w:val="18"/>
        </w:numPr>
        <w:spacing w:after="80" w:line="283" w:lineRule="auto"/>
      </w:pPr>
      <w:r>
        <w:rPr>
          <w:rFonts w:ascii="Arial" w:hAnsi="Arial" w:eastAsia="Arial"/>
          <w:color w:val="162019"/>
          <w:sz w:val="20"/>
        </w:rPr>
        <w:t>Révoquer immédiatement un accès suspect avant d’analyser la responsabilité.</w:t>
      </w:r>
    </w:p>
    <w:p>
      <w:pPr>
        <w:numPr>
          <w:ilvl w:val="0"/>
          <w:numId w:val="18"/>
        </w:numPr>
        <w:spacing w:after="80" w:line="283" w:lineRule="auto"/>
      </w:pPr>
      <w:r>
        <w:rPr>
          <w:rFonts w:ascii="Arial" w:hAnsi="Arial" w:eastAsia="Arial"/>
          <w:color w:val="162019"/>
          <w:sz w:val="20"/>
        </w:rPr>
        <w:t>Journaliser toute action privilégiée et toute modification de rôle.</w:t>
      </w:r>
    </w:p>
    <w:p>
      <w:pPr>
        <w:pStyle w:val="Heading2"/>
      </w:pPr>
      <w:r>
        <w:t>Cycle de vie des clés</w:t>
      </w:r>
    </w:p>
    <w:tbl>
      <w:tblPr>
        <w:tblStyle w:val="TableGrid"/>
        <w:tblW w:type="dxa" w:w="9500"/>
        <w:jc w:val="left"/>
        <w:tblLayout w:type="fixed"/>
        <w:tblLook w:firstColumn="1" w:firstRow="1" w:lastColumn="0" w:lastRow="0" w:noHBand="0" w:noVBand="1" w:val="04A0"/>
        <w:tblInd w:w="120" w:type="dxa"/>
      </w:tblPr>
      <w:tblGrid>
        <w:gridCol w:w="1800"/>
        <w:gridCol w:w="4100"/>
        <w:gridCol w:w="36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Étape</w:t>
            </w:r>
          </w:p>
        </w:tc>
        <w:tc>
          <w:tcPr>
            <w:tcW w:type="dxa" w:w="4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attendue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Création</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Génération dans un environnement maîtrisé</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Date, propriétaire, usage et empreinte publique</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Stockage</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Secret hors dépôt, logs et document</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Référence de coffre ou procédure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Usage</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Domaine, montant, contrat et durée bornés</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Journal de signature / transaction</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Rotation</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Calendrier et déclencheurs définis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Ancienne/nouvelle identité et validation</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Révocation</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Chemin testé et rapide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Événement, rôle retiré et contrôle postérieur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Secours</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Accès d’urgence protégé et auditable</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Test périodique sans exposer le secret</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Destruction</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Effacement ou mise hors service vérifiable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 et date</w:t>
            </w:r>
          </w:p>
        </w:tc>
      </w:tr>
    </w:tbl>
    <w:p>
      <w:pPr>
        <w:spacing w:after="40"/>
      </w:pPr>
    </w:p>
    <w:p>
      <w:pPr>
        <w:pStyle w:val="Heading2"/>
      </w:pPr>
      <w:r>
        <w:t>Rôles on-chain à réconcilier</w:t>
      </w:r>
    </w:p>
    <w:tbl>
      <w:tblPr>
        <w:tblStyle w:val="TableGrid"/>
        <w:tblW w:type="dxa" w:w="9500"/>
        <w:jc w:val="left"/>
        <w:tblLayout w:type="fixed"/>
        <w:tblLook w:firstColumn="1" w:firstRow="1" w:lastColumn="0" w:lastRow="0" w:noHBand="0" w:noVBand="1" w:val="04A0"/>
        <w:tblInd w:w="120" w:type="dxa"/>
      </w:tblPr>
      <w:tblGrid>
        <w:gridCol w:w="1900"/>
        <w:gridCol w:w="1900"/>
        <w:gridCol w:w="2400"/>
        <w:gridCol w:w="1900"/>
        <w:gridCol w:w="14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Adresse</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Pouvoir</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Révocation</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Owner / admin</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TESTER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Pauser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TESTER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Upgrader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TESTER</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Collecteur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TESTER</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INTERDICTION</w:t>
        <w:br/>
      </w:r>
      <w:r>
        <w:rPr>
          <w:rFonts w:ascii="Arial" w:hAnsi="Arial" w:eastAsia="Arial"/>
          <w:b w:val="0"/>
          <w:color w:val="162019"/>
          <w:sz w:val="20"/>
        </w:rPr>
        <w:t>Aucune clé réelle, phrase de récupération, token d’accès ou secret de configuration ne doit apparaître dans ce dossier ou ses annexes.</w:t>
      </w:r>
    </w:p>
    <w:p>
      <w:pPr>
        <w:keepNext/>
        <w:spacing w:before="440" w:after="100"/>
      </w:pPr>
      <w:r>
        <w:rPr>
          <w:rFonts w:ascii="Arial" w:hAnsi="Arial" w:eastAsia="Arial"/>
          <w:b/>
          <w:color w:val="C6A15B"/>
          <w:sz w:val="16"/>
        </w:rPr>
        <w:t>CHAPITRE 04</w:t>
      </w:r>
    </w:p>
    <w:p>
      <w:pPr>
        <w:pStyle w:val="Heading1"/>
        <w:pageBreakBefore w:val="0"/>
      </w:pPr>
      <w:r>
        <w:t>Développement sécurisé et changements</w:t>
      </w:r>
    </w:p>
    <w:p>
      <w:pPr>
        <w:pStyle w:val="Heading2"/>
      </w:pPr>
      <w:r>
        <w:t>Contrôles du cycle de changement</w:t>
      </w:r>
    </w:p>
    <w:tbl>
      <w:tblPr>
        <w:tblStyle w:val="TableGrid"/>
        <w:tblW w:type="dxa" w:w="9500"/>
        <w:jc w:val="left"/>
        <w:tblLayout w:type="fixed"/>
        <w:tblLook w:firstColumn="1" w:firstRow="1" w:lastColumn="0" w:lastRow="0" w:noHBand="0" w:noVBand="1" w:val="04A0"/>
        <w:tblInd w:w="120" w:type="dxa"/>
      </w:tblPr>
      <w:tblGrid>
        <w:gridCol w:w="1900"/>
        <w:gridCol w:w="4700"/>
        <w:gridCol w:w="29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Étape</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Exigence</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Conception</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Menaces, invariants et conséquences bornées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Revue avant implémentation</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Code</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Standards, erreurs explicites et dépendances verrouillées</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Revue de changement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Tests</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Unitaires, intégration, E2E, négatifs et adversariaux</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Rapports rattachés au commit</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Build</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Environnement, lockfiles, SBOM et checksums</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Reproductibilité</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Déploiement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Manifest, bytecode, rôles et rollback</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Approbation séparée si possible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Observation</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Logs, alertes et critères de succès/arrêt</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Fenêtre de surveillance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Clôture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Écarts, décision et preuves archivées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Visa de release</w:t>
            </w:r>
          </w:p>
        </w:tc>
      </w:tr>
    </w:tbl>
    <w:p>
      <w:pPr>
        <w:spacing w:after="40"/>
      </w:pPr>
    </w:p>
    <w:p>
      <w:pPr>
        <w:pStyle w:val="Heading2"/>
      </w:pPr>
      <w:r>
        <w:t>Règles de branche et release</w:t>
      </w:r>
    </w:p>
    <w:p>
      <w:pPr>
        <w:numPr>
          <w:ilvl w:val="0"/>
          <w:numId w:val="19"/>
        </w:numPr>
        <w:spacing w:after="80" w:line="283" w:lineRule="auto"/>
      </w:pPr>
      <w:r>
        <w:rPr>
          <w:rFonts w:ascii="Arial" w:hAnsi="Arial" w:eastAsia="Arial"/>
          <w:color w:val="162019"/>
          <w:sz w:val="20"/>
        </w:rPr>
        <w:t>aucune modification directe silencieuse de la candidate gelée ;</w:t>
      </w:r>
    </w:p>
    <w:p>
      <w:pPr>
        <w:numPr>
          <w:ilvl w:val="0"/>
          <w:numId w:val="19"/>
        </w:numPr>
        <w:spacing w:after="80" w:line="283" w:lineRule="auto"/>
      </w:pPr>
      <w:r>
        <w:rPr>
          <w:rFonts w:ascii="Arial" w:hAnsi="Arial" w:eastAsia="Arial"/>
          <w:color w:val="162019"/>
          <w:sz w:val="20"/>
        </w:rPr>
        <w:t>tout correctif produit un nouveau commit, un nouveau build et de nouveaux résultats ;</w:t>
      </w:r>
    </w:p>
    <w:p>
      <w:pPr>
        <w:numPr>
          <w:ilvl w:val="0"/>
          <w:numId w:val="19"/>
        </w:numPr>
        <w:spacing w:after="80" w:line="283" w:lineRule="auto"/>
      </w:pPr>
      <w:r>
        <w:rPr>
          <w:rFonts w:ascii="Arial" w:hAnsi="Arial" w:eastAsia="Arial"/>
          <w:color w:val="162019"/>
          <w:sz w:val="20"/>
        </w:rPr>
        <w:t>les tests ignorés sont listés avec justification et risque ;</w:t>
      </w:r>
    </w:p>
    <w:p>
      <w:pPr>
        <w:numPr>
          <w:ilvl w:val="0"/>
          <w:numId w:val="19"/>
        </w:numPr>
        <w:spacing w:after="80" w:line="283" w:lineRule="auto"/>
      </w:pPr>
      <w:r>
        <w:rPr>
          <w:rFonts w:ascii="Arial" w:hAnsi="Arial" w:eastAsia="Arial"/>
          <w:color w:val="162019"/>
          <w:sz w:val="20"/>
        </w:rPr>
        <w:t>le dépôt, les artefacts et le déploiement portent des identifiants cohérents ;</w:t>
      </w:r>
    </w:p>
    <w:p>
      <w:pPr>
        <w:numPr>
          <w:ilvl w:val="0"/>
          <w:numId w:val="19"/>
        </w:numPr>
        <w:spacing w:after="80" w:line="283" w:lineRule="auto"/>
      </w:pPr>
      <w:r>
        <w:rPr>
          <w:rFonts w:ascii="Arial" w:hAnsi="Arial" w:eastAsia="Arial"/>
          <w:color w:val="162019"/>
          <w:sz w:val="20"/>
        </w:rPr>
        <w:t>les changements d’urgence suivent une procédure accélérée, jamais une absence de procédure.</w:t>
      </w:r>
    </w:p>
    <w:p>
      <w:pPr>
        <w:pStyle w:val="Heading2"/>
      </w:pPr>
      <w:r>
        <w:t>État actuel</w:t>
      </w:r>
    </w:p>
    <w:tbl>
      <w:tblPr>
        <w:tblStyle w:val="TableGrid"/>
        <w:tblW w:type="dxa" w:w="9500"/>
        <w:jc w:val="left"/>
        <w:tblLayout w:type="fixed"/>
        <w:tblLook w:firstColumn="1" w:firstRow="1" w:lastColumn="0" w:lastRow="0" w:noHBand="0" w:noVBand="1" w:val="04A0"/>
        <w:tblInd w:w="120" w:type="dxa"/>
      </w:tblPr>
      <w:tblGrid>
        <w:gridCol w:w="3400"/>
        <w:gridCol w:w="6100"/>
      </w:tblGrid>
      <w:tr>
        <w:trPr>
          <w:tblHeader w:val="true"/>
          <w:cantSplit/>
        </w:trPr>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61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Statut documentaire</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Release Candidate</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 — commit et preuves non annexés</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Build reproductible</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PROUVER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SBOM / dépendances</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ANNEXER</w:t>
            </w:r>
          </w:p>
        </w:tc>
      </w:tr>
      <w:tr>
        <w:trPr>
          <w:cantSplit/>
        </w:trPr>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Registre de changements</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CONSTRUIRE OU RAPPROCHER</w:t>
            </w:r>
          </w:p>
        </w:tc>
      </w:tr>
      <w:tr>
        <w:trPr>
          <w:cantSplit/>
        </w:trPr>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Déploiement Base Sepolia</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RÉCONCILIER</w:t>
            </w:r>
          </w:p>
        </w:tc>
      </w:tr>
    </w:tbl>
    <w:p>
      <w:pPr>
        <w:spacing w:after="40"/>
      </w:pPr>
    </w:p>
    <w:p>
      <w:r>
        <w:br w:type="page"/>
      </w:r>
    </w:p>
    <w:p>
      <w:pPr>
        <w:keepNext/>
        <w:spacing w:before="440" w:after="100"/>
      </w:pPr>
      <w:r>
        <w:rPr>
          <w:rFonts w:ascii="Arial" w:hAnsi="Arial" w:eastAsia="Arial"/>
          <w:b/>
          <w:color w:val="C6A15B"/>
          <w:sz w:val="16"/>
        </w:rPr>
        <w:t>CHAPITRE 05</w:t>
      </w:r>
    </w:p>
    <w:p>
      <w:pPr>
        <w:pStyle w:val="Heading1"/>
        <w:pageBreakBefore w:val="0"/>
      </w:pPr>
      <w:r>
        <w:t>Vulnérabilités et risques</w:t>
      </w:r>
    </w:p>
    <w:p>
      <w:pPr>
        <w:pStyle w:val="Heading2"/>
      </w:pPr>
      <w:r>
        <w:t>Réception et tri</w:t>
      </w:r>
    </w:p>
    <w:p>
      <w:pPr>
        <w:numPr>
          <w:ilvl w:val="0"/>
          <w:numId w:val="20"/>
        </w:numPr>
        <w:spacing w:after="80" w:line="283" w:lineRule="auto"/>
      </w:pPr>
      <w:r>
        <w:rPr>
          <w:rFonts w:ascii="Arial" w:hAnsi="Arial" w:eastAsia="Arial"/>
          <w:color w:val="162019"/>
          <w:sz w:val="20"/>
        </w:rPr>
        <w:t>Accuser réception sans confirmer publiquement l’impact avant analyse.</w:t>
      </w:r>
    </w:p>
    <w:p>
      <w:pPr>
        <w:numPr>
          <w:ilvl w:val="0"/>
          <w:numId w:val="20"/>
        </w:numPr>
        <w:spacing w:after="80" w:line="283" w:lineRule="auto"/>
      </w:pPr>
      <w:r>
        <w:rPr>
          <w:rFonts w:ascii="Arial" w:hAnsi="Arial" w:eastAsia="Arial"/>
          <w:color w:val="162019"/>
          <w:sz w:val="20"/>
        </w:rPr>
        <w:t>Créer un identifiant de finding et limiter l’accès au besoin d’en connaître.</w:t>
      </w:r>
    </w:p>
    <w:p>
      <w:pPr>
        <w:numPr>
          <w:ilvl w:val="0"/>
          <w:numId w:val="20"/>
        </w:numPr>
        <w:spacing w:after="80" w:line="283" w:lineRule="auto"/>
      </w:pPr>
      <w:r>
        <w:rPr>
          <w:rFonts w:ascii="Arial" w:hAnsi="Arial" w:eastAsia="Arial"/>
          <w:color w:val="162019"/>
          <w:sz w:val="20"/>
        </w:rPr>
        <w:t>Reproduire sur un environnement isolé sans fonds réels ni données inutiles.</w:t>
      </w:r>
    </w:p>
    <w:p>
      <w:pPr>
        <w:numPr>
          <w:ilvl w:val="0"/>
          <w:numId w:val="20"/>
        </w:numPr>
        <w:spacing w:after="80" w:line="283" w:lineRule="auto"/>
      </w:pPr>
      <w:r>
        <w:rPr>
          <w:rFonts w:ascii="Arial" w:hAnsi="Arial" w:eastAsia="Arial"/>
          <w:color w:val="162019"/>
          <w:sz w:val="20"/>
        </w:rPr>
        <w:t>Évaluer exploitabilité, impact, périmètre, exposition et détection existante.</w:t>
      </w:r>
    </w:p>
    <w:p>
      <w:pPr>
        <w:numPr>
          <w:ilvl w:val="0"/>
          <w:numId w:val="20"/>
        </w:numPr>
        <w:spacing w:after="80" w:line="283" w:lineRule="auto"/>
      </w:pPr>
      <w:r>
        <w:rPr>
          <w:rFonts w:ascii="Arial" w:hAnsi="Arial" w:eastAsia="Arial"/>
          <w:color w:val="162019"/>
          <w:sz w:val="20"/>
        </w:rPr>
        <w:t>Décider correction, mitigation, acceptation bornée ou non-applicabilité.</w:t>
      </w:r>
    </w:p>
    <w:p>
      <w:pPr>
        <w:numPr>
          <w:ilvl w:val="0"/>
          <w:numId w:val="20"/>
        </w:numPr>
        <w:spacing w:after="80" w:line="283" w:lineRule="auto"/>
      </w:pPr>
      <w:r>
        <w:rPr>
          <w:rFonts w:ascii="Arial" w:hAnsi="Arial" w:eastAsia="Arial"/>
          <w:color w:val="162019"/>
          <w:sz w:val="20"/>
        </w:rPr>
        <w:t>Retester sur la candidate corrigée et conserver les preuves avant/après.</w:t>
      </w:r>
    </w:p>
    <w:p>
      <w:pPr>
        <w:pStyle w:val="Heading2"/>
      </w:pPr>
      <w:r>
        <w:t>Classification des findings</w:t>
      </w:r>
    </w:p>
    <w:tbl>
      <w:tblPr>
        <w:tblStyle w:val="TableGrid"/>
        <w:tblW w:type="dxa" w:w="9500"/>
        <w:jc w:val="left"/>
        <w:tblLayout w:type="fixed"/>
        <w:tblLook w:firstColumn="1" w:firstRow="1" w:lastColumn="0" w:lastRow="0" w:noHBand="0" w:noVBand="1" w:val="04A0"/>
        <w:tblInd w:w="120" w:type="dxa"/>
      </w:tblPr>
      <w:tblGrid>
        <w:gridCol w:w="1700"/>
        <w:gridCol w:w="4700"/>
        <w:gridCol w:w="3100"/>
      </w:tblGrid>
      <w:tr>
        <w:trPr>
          <w:tblHeader w:val="true"/>
          <w:cantSplit/>
        </w:trPr>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Exemples d’impact</w:t>
            </w:r>
          </w:p>
        </w:tc>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Traitement</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Critical</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Contrôle privilégié, conséquence injustifiée généralisée, secret maître compromis</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 ; confinement immédiat</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High</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Faux PROVIDER_FAULT exploitable, bypass d’accès, perte d’intégrité importante</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Bloquant pour RC sauf décision exceptionnelle</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Medium</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Impact borné avec préconditions fortes ou détection disponible</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Correction planifiée et risque suivi</w:t>
            </w:r>
          </w:p>
        </w:tc>
      </w:tr>
      <w:tr>
        <w:trPr>
          <w:cantSplit/>
        </w:trPr>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Low</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Défense en profondeur, information limitée ou durcissement</w:t>
            </w:r>
          </w:p>
        </w:tc>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Backlog contrôlé</w:t>
            </w:r>
          </w:p>
        </w:tc>
      </w:tr>
      <w:tr>
        <w:trPr>
          <w:cantSplit/>
        </w:trPr>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Info</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Observation sans impact démontré</w:t>
            </w:r>
          </w:p>
        </w:tc>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Documenter ou fermer avec justification</w:t>
            </w:r>
          </w:p>
        </w:tc>
      </w:tr>
    </w:tbl>
    <w:p>
      <w:pPr>
        <w:spacing w:after="40"/>
      </w:pPr>
    </w:p>
    <w:p>
      <w:pPr>
        <w:pStyle w:val="Heading2"/>
      </w:pPr>
      <w:r>
        <w:t>Registre des risques</w:t>
      </w:r>
    </w:p>
    <w:tbl>
      <w:tblPr>
        <w:tblStyle w:val="TableGrid"/>
        <w:tblW w:type="dxa" w:w="9500"/>
        <w:jc w:val="left"/>
        <w:tblLayout w:type="fixed"/>
        <w:tblLook w:firstColumn="1" w:firstRow="1" w:lastColumn="0" w:lastRow="0" w:noHBand="0" w:noVBand="1" w:val="04A0"/>
        <w:tblInd w:w="120" w:type="dxa"/>
      </w:tblPr>
      <w:tblGrid>
        <w:gridCol w:w="1200"/>
        <w:gridCol w:w="2600"/>
        <w:gridCol w:w="1500"/>
        <w:gridCol w:w="1300"/>
        <w:gridCol w:w="1700"/>
        <w:gridCol w:w="12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Risque</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Probabilité</w:t>
            </w:r>
          </w:p>
        </w:tc>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Impact</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Traitement</w:t>
            </w:r>
          </w:p>
        </w:tc>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R-SEC-01</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Clé privilégiée compromise</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ÉVALUER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Critique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Prévenir / révoquer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TESTER</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R-SEC-02</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Faux résultat de faute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ÉVALUER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Critique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Fail closed / corpus</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PROUVER</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R-SEC-03</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RPC divergent ou reorg</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ÉVALUER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Élevé</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Quorum / finalité</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PROUVER</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R-SEC-04</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Perte de persistance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ÉVALUER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Élevé</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Checkpoint / reprise</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PROUVER</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R-SEC-05</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Supply chain modifiée</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ÉVALUER</w:t>
            </w:r>
          </w:p>
        </w:tc>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Élevé</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Lock / SBOM / hash</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PROUVER</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R-SEC-06</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Donnée sensible exposée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ÉVALUER</w:t>
            </w:r>
          </w:p>
        </w:tc>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Variable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Minimiser / chiffrer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PROUVER</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ACCEPTATION DE RISQUE</w:t>
        <w:br/>
      </w:r>
      <w:r>
        <w:rPr>
          <w:rFonts w:ascii="Arial" w:hAnsi="Arial" w:eastAsia="Arial"/>
          <w:b w:val="0"/>
          <w:color w:val="162019"/>
          <w:sz w:val="20"/>
        </w:rPr>
        <w:t>Un risque Critical ou High ne doit jamais être marqué « accepté » sans propriétaire, justification, portée non exposée, durée, compensation et visa explicites.</w:t>
      </w:r>
    </w:p>
    <w:p>
      <w:pPr>
        <w:keepNext/>
        <w:spacing w:before="440" w:after="100"/>
      </w:pPr>
      <w:r>
        <w:rPr>
          <w:rFonts w:ascii="Arial" w:hAnsi="Arial" w:eastAsia="Arial"/>
          <w:b/>
          <w:color w:val="C6A15B"/>
          <w:sz w:val="16"/>
        </w:rPr>
        <w:t>CHAPITRE 06</w:t>
      </w:r>
    </w:p>
    <w:p>
      <w:pPr>
        <w:pStyle w:val="Heading1"/>
        <w:pageBreakBefore w:val="0"/>
      </w:pPr>
      <w:r>
        <w:t>Journalisation, détection et alertes</w:t>
      </w:r>
    </w:p>
    <w:p>
      <w:pPr>
        <w:pStyle w:val="Heading2"/>
      </w:pPr>
      <w:r>
        <w:t>Événements à journaliser</w:t>
      </w:r>
    </w:p>
    <w:tbl>
      <w:tblPr>
        <w:tblStyle w:val="TableGrid"/>
        <w:tblW w:type="dxa" w:w="9500"/>
        <w:jc w:val="left"/>
        <w:tblLayout w:type="fixed"/>
        <w:tblLook w:firstColumn="1" w:firstRow="1" w:lastColumn="0" w:lastRow="0" w:noHBand="0" w:noVBand="1" w:val="04A0"/>
        <w:tblInd w:w="120" w:type="dxa"/>
      </w:tblPr>
      <w:tblGrid>
        <w:gridCol w:w="1900"/>
        <w:gridCol w:w="5200"/>
        <w:gridCol w:w="24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5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Événements minimaux</w:t>
            </w:r>
          </w:p>
        </w:tc>
        <w:tc>
          <w:tcPr>
            <w:tcW w:type="dxa" w:w="2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Données interdites</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Identité</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Connexion, échec, MFA, rôle, révocation</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Secrets et facteurs bruts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Administration</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Pause, upgrade, politique, configuration</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Clés privées</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Engagement</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Création, acceptation, observation, classification, clôture</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Contenu hors chaîne inutile</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 collecteur, hash, signature, résultat et raisons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sensible en clair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Chaîne</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Tx, bloc, confirmations, reorg et divergence RPC</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Token d’accès RPC</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Système</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Déploiement, crash, reprise, sauvegarde et restauration</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Variables secrètes</w:t>
            </w:r>
          </w:p>
        </w:tc>
      </w:tr>
    </w:tbl>
    <w:p>
      <w:pPr>
        <w:spacing w:after="40"/>
      </w:pPr>
    </w:p>
    <w:p>
      <w:pPr>
        <w:pStyle w:val="Heading2"/>
      </w:pPr>
      <w:r>
        <w:t>Alertes prioritaires</w:t>
      </w:r>
    </w:p>
    <w:p>
      <w:pPr>
        <w:numPr>
          <w:ilvl w:val="0"/>
          <w:numId w:val="21"/>
        </w:numPr>
        <w:spacing w:after="80" w:line="283" w:lineRule="auto"/>
      </w:pPr>
      <w:r>
        <w:rPr>
          <w:rFonts w:ascii="Arial" w:hAnsi="Arial" w:eastAsia="Arial"/>
          <w:color w:val="162019"/>
          <w:sz w:val="20"/>
        </w:rPr>
        <w:t>changement de rôle privilégié ou upgrade hors fenêtre approuvée ;</w:t>
      </w:r>
    </w:p>
    <w:p>
      <w:pPr>
        <w:numPr>
          <w:ilvl w:val="0"/>
          <w:numId w:val="21"/>
        </w:numPr>
        <w:spacing w:after="80" w:line="283" w:lineRule="auto"/>
      </w:pPr>
      <w:r>
        <w:rPr>
          <w:rFonts w:ascii="Arial" w:hAnsi="Arial" w:eastAsia="Arial"/>
          <w:color w:val="162019"/>
          <w:sz w:val="20"/>
        </w:rPr>
        <w:t>signature invalide, nonce réutilisé ou volume anormal de refus ;</w:t>
      </w:r>
    </w:p>
    <w:p>
      <w:pPr>
        <w:numPr>
          <w:ilvl w:val="0"/>
          <w:numId w:val="21"/>
        </w:numPr>
        <w:spacing w:after="80" w:line="283" w:lineRule="auto"/>
      </w:pPr>
      <w:r>
        <w:rPr>
          <w:rFonts w:ascii="Arial" w:hAnsi="Arial" w:eastAsia="Arial"/>
          <w:color w:val="162019"/>
          <w:sz w:val="20"/>
        </w:rPr>
        <w:t>classification PROVIDER_FAULT inattendue ou taux UNDETERMINED anormal ;</w:t>
      </w:r>
    </w:p>
    <w:p>
      <w:pPr>
        <w:numPr>
          <w:ilvl w:val="0"/>
          <w:numId w:val="21"/>
        </w:numPr>
        <w:spacing w:after="80" w:line="283" w:lineRule="auto"/>
      </w:pPr>
      <w:r>
        <w:rPr>
          <w:rFonts w:ascii="Arial" w:hAnsi="Arial" w:eastAsia="Arial"/>
          <w:color w:val="162019"/>
          <w:sz w:val="20"/>
        </w:rPr>
        <w:t>écart entre deux RPC, reorg au-delà du seuil ou finalisation incohérente ;</w:t>
      </w:r>
    </w:p>
    <w:p>
      <w:pPr>
        <w:numPr>
          <w:ilvl w:val="0"/>
          <w:numId w:val="21"/>
        </w:numPr>
        <w:spacing w:after="80" w:line="283" w:lineRule="auto"/>
      </w:pPr>
      <w:r>
        <w:rPr>
          <w:rFonts w:ascii="Arial" w:hAnsi="Arial" w:eastAsia="Arial"/>
          <w:color w:val="162019"/>
          <w:sz w:val="20"/>
        </w:rPr>
        <w:t>rejeu, doublon, double conséquence ou divergence d’état ;</w:t>
      </w:r>
    </w:p>
    <w:p>
      <w:pPr>
        <w:numPr>
          <w:ilvl w:val="0"/>
          <w:numId w:val="21"/>
        </w:numPr>
        <w:spacing w:after="80" w:line="283" w:lineRule="auto"/>
      </w:pPr>
      <w:r>
        <w:rPr>
          <w:rFonts w:ascii="Arial" w:hAnsi="Arial" w:eastAsia="Arial"/>
          <w:color w:val="162019"/>
          <w:sz w:val="20"/>
        </w:rPr>
        <w:t>échec de persistance, checkpoint, sauvegarde ou restauration ;</w:t>
      </w:r>
    </w:p>
    <w:p>
      <w:pPr>
        <w:numPr>
          <w:ilvl w:val="0"/>
          <w:numId w:val="21"/>
        </w:numPr>
        <w:spacing w:after="80" w:line="283" w:lineRule="auto"/>
      </w:pPr>
      <w:r>
        <w:rPr>
          <w:rFonts w:ascii="Arial" w:hAnsi="Arial" w:eastAsia="Arial"/>
          <w:color w:val="162019"/>
          <w:sz w:val="20"/>
        </w:rPr>
        <w:t>secret détecté dans dépôt, artefact, log ou document.</w:t>
      </w:r>
    </w:p>
    <w:p>
      <w:pPr>
        <w:pStyle w:val="Heading2"/>
      </w:pPr>
      <w:r>
        <w:t>Fiche d’alerte</w:t>
      </w:r>
    </w:p>
    <w:tbl>
      <w:tblPr>
        <w:tblStyle w:val="TableGrid"/>
        <w:tblW w:type="dxa" w:w="9500"/>
        <w:jc w:val="left"/>
        <w:tblLayout w:type="fixed"/>
        <w:tblLook w:firstColumn="1" w:firstRow="1" w:lastColumn="0" w:lastRow="0" w:noHBand="0" w:noVBand="1" w:val="04A0"/>
        <w:tblInd w:w="120" w:type="dxa"/>
      </w:tblPr>
      <w:tblGrid>
        <w:gridCol w:w="2900"/>
        <w:gridCol w:w="6600"/>
      </w:tblGrid>
      <w:tr>
        <w:trPr>
          <w:tblHeader w:val="true"/>
          <w:cantSplit/>
        </w:trPr>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 requise</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Identifiant / horodatage</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 automatiquement</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Source / environnement</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 version, réseau et région si applicable</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Condition / seuil</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Règle précise ayant déclenché l’alerte</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Contexte corrélé</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Request ID, tx, bloc, identité, commit — sans secret</w:t>
            </w:r>
          </w:p>
        </w:tc>
      </w:tr>
      <w:tr>
        <w:trPr>
          <w:cantSplit/>
        </w:trPr>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Première action</w:t>
            </w:r>
          </w:p>
        </w:tc>
        <w:tc>
          <w:tcPr>
            <w:tcW w:type="dxa" w:w="6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Confinement sûr et réversible</w:t>
            </w:r>
          </w:p>
        </w:tc>
      </w:tr>
      <w:tr>
        <w:trPr>
          <w:cantSplit/>
        </w:trPr>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Escalade</w:t>
            </w:r>
          </w:p>
        </w:tc>
        <w:tc>
          <w:tcPr>
            <w:tcW w:type="dxa" w:w="6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Niveau, rôle contacté et délai cible</w:t>
            </w:r>
          </w:p>
        </w:tc>
      </w:tr>
    </w:tbl>
    <w:p>
      <w:pPr>
        <w:spacing w:after="40"/>
      </w:pPr>
    </w:p>
    <w:p>
      <w:r>
        <w:br w:type="page"/>
      </w:r>
    </w:p>
    <w:p>
      <w:pPr>
        <w:keepNext/>
        <w:spacing w:before="440" w:after="100"/>
      </w:pPr>
      <w:r>
        <w:rPr>
          <w:rFonts w:ascii="Arial" w:hAnsi="Arial" w:eastAsia="Arial"/>
          <w:b/>
          <w:color w:val="C6A15B"/>
          <w:sz w:val="16"/>
        </w:rPr>
        <w:t>CHAPITRE 07</w:t>
      </w:r>
    </w:p>
    <w:p>
      <w:pPr>
        <w:pStyle w:val="Heading1"/>
        <w:pageBreakBefore w:val="0"/>
      </w:pPr>
      <w:r>
        <w:t>Classification et cycle de réponse</w:t>
      </w:r>
    </w:p>
    <w:p>
      <w:pPr>
        <w:pStyle w:val="Heading2"/>
      </w:pPr>
      <w:r>
        <w:t>Niveaux d’incident</w:t>
      </w:r>
    </w:p>
    <w:tbl>
      <w:tblPr>
        <w:tblStyle w:val="TableGrid"/>
        <w:tblW w:type="dxa" w:w="9500"/>
        <w:jc w:val="left"/>
        <w:tblLayout w:type="fixed"/>
        <w:tblLook w:firstColumn="1" w:firstRow="1" w:lastColumn="0" w:lastRow="0" w:noHBand="0" w:noVBand="1" w:val="04A0"/>
        <w:tblInd w:w="120" w:type="dxa"/>
      </w:tblPr>
      <w:tblGrid>
        <w:gridCol w:w="1500"/>
        <w:gridCol w:w="2800"/>
        <w:gridCol w:w="3600"/>
        <w:gridCol w:w="16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Exemples</w:t>
            </w:r>
          </w:p>
        </w:tc>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Cible initiale*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SEV-1</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Impact critique réel ou imminent</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 admin, fausse conséquence, intégrité généralisée</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Immédiate</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SEV-2</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Impact élevé mais borné ou contenu</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Bypass limité, perte d’état récupérable, fuite sensible</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4 h</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SEV-3</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Dégradation modérée sans conséquence critique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Indisponibilité testnet, alerte récurrente</w:t>
            </w:r>
          </w:p>
        </w:tc>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1 jour ouvré</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SEV-4</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Anomalie mineure ou observation</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Durcissement, faux signal sans impact</w:t>
            </w:r>
          </w:p>
        </w:tc>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Backlog suivi</w:t>
            </w:r>
          </w:p>
        </w:tc>
      </w:tr>
    </w:tbl>
    <w:p>
      <w:pPr>
        <w:spacing w:after="40"/>
      </w:pPr>
    </w:p>
    <w:p>
      <w:pPr>
        <w:spacing w:after="140" w:line="307" w:lineRule="auto"/>
      </w:pPr>
      <w:r>
        <w:rPr>
          <w:rFonts w:ascii="Arial" w:hAnsi="Arial" w:eastAsia="Arial"/>
          <w:i/>
          <w:color w:val="66736B"/>
          <w:sz w:val="20"/>
        </w:rPr>
        <w:t>* Cibles internes proposées, à valider selon la capacité réelle de Pacturion. Elles ne constituent pas un SLA client.</w:t>
      </w:r>
    </w:p>
    <w:p>
      <w:pPr>
        <w:pStyle w:val="Heading2"/>
      </w:pPr>
      <w:r>
        <w:t>Cycle de réponse</w:t>
      </w:r>
    </w:p>
    <w:p>
      <w:pPr>
        <w:numPr>
          <w:ilvl w:val="0"/>
          <w:numId w:val="22"/>
        </w:numPr>
        <w:spacing w:after="80" w:line="283" w:lineRule="auto"/>
      </w:pPr>
      <w:r>
        <w:rPr>
          <w:rFonts w:ascii="Arial" w:hAnsi="Arial" w:eastAsia="Arial"/>
          <w:color w:val="162019"/>
          <w:sz w:val="20"/>
        </w:rPr>
        <w:t>Détecter et ouvrir l’incident avec un identifiant unique.</w:t>
      </w:r>
    </w:p>
    <w:p>
      <w:pPr>
        <w:numPr>
          <w:ilvl w:val="0"/>
          <w:numId w:val="22"/>
        </w:numPr>
        <w:spacing w:after="80" w:line="283" w:lineRule="auto"/>
      </w:pPr>
      <w:r>
        <w:rPr>
          <w:rFonts w:ascii="Arial" w:hAnsi="Arial" w:eastAsia="Arial"/>
          <w:color w:val="162019"/>
          <w:sz w:val="20"/>
        </w:rPr>
        <w:t>Qualifier la sévérité, le périmètre, la candidate et les actifs concernés.</w:t>
      </w:r>
    </w:p>
    <w:p>
      <w:pPr>
        <w:numPr>
          <w:ilvl w:val="0"/>
          <w:numId w:val="22"/>
        </w:numPr>
        <w:spacing w:after="80" w:line="283" w:lineRule="auto"/>
      </w:pPr>
      <w:r>
        <w:rPr>
          <w:rFonts w:ascii="Arial" w:hAnsi="Arial" w:eastAsia="Arial"/>
          <w:color w:val="162019"/>
          <w:sz w:val="20"/>
        </w:rPr>
        <w:t>Nommer l’Incident Commander et geler la chronologie.</w:t>
      </w:r>
    </w:p>
    <w:p>
      <w:pPr>
        <w:numPr>
          <w:ilvl w:val="0"/>
          <w:numId w:val="22"/>
        </w:numPr>
        <w:spacing w:after="80" w:line="283" w:lineRule="auto"/>
      </w:pPr>
      <w:r>
        <w:rPr>
          <w:rFonts w:ascii="Arial" w:hAnsi="Arial" w:eastAsia="Arial"/>
          <w:color w:val="162019"/>
          <w:sz w:val="20"/>
        </w:rPr>
        <w:t>Contenir par l’action la plus sûre et la plus réversible disponible.</w:t>
      </w:r>
    </w:p>
    <w:p>
      <w:pPr>
        <w:numPr>
          <w:ilvl w:val="0"/>
          <w:numId w:val="22"/>
        </w:numPr>
        <w:spacing w:after="80" w:line="283" w:lineRule="auto"/>
      </w:pPr>
      <w:r>
        <w:rPr>
          <w:rFonts w:ascii="Arial" w:hAnsi="Arial" w:eastAsia="Arial"/>
          <w:color w:val="162019"/>
          <w:sz w:val="20"/>
        </w:rPr>
        <w:t>Préserver les preuves avant toute correction destructive.</w:t>
      </w:r>
    </w:p>
    <w:p>
      <w:pPr>
        <w:numPr>
          <w:ilvl w:val="0"/>
          <w:numId w:val="22"/>
        </w:numPr>
        <w:spacing w:after="80" w:line="283" w:lineRule="auto"/>
      </w:pPr>
      <w:r>
        <w:rPr>
          <w:rFonts w:ascii="Arial" w:hAnsi="Arial" w:eastAsia="Arial"/>
          <w:color w:val="162019"/>
          <w:sz w:val="20"/>
        </w:rPr>
        <w:t>Éradiquer la cause, corriger sur une nouvelle version et retester.</w:t>
      </w:r>
    </w:p>
    <w:p>
      <w:pPr>
        <w:numPr>
          <w:ilvl w:val="0"/>
          <w:numId w:val="22"/>
        </w:numPr>
        <w:spacing w:after="80" w:line="283" w:lineRule="auto"/>
      </w:pPr>
      <w:r>
        <w:rPr>
          <w:rFonts w:ascii="Arial" w:hAnsi="Arial" w:eastAsia="Arial"/>
          <w:color w:val="162019"/>
          <w:sz w:val="20"/>
        </w:rPr>
        <w:t>Restaurer progressivement avec critères de succès et d’arrêt.</w:t>
      </w:r>
    </w:p>
    <w:p>
      <w:pPr>
        <w:numPr>
          <w:ilvl w:val="0"/>
          <w:numId w:val="22"/>
        </w:numPr>
        <w:spacing w:after="80" w:line="283" w:lineRule="auto"/>
      </w:pPr>
      <w:r>
        <w:rPr>
          <w:rFonts w:ascii="Arial" w:hAnsi="Arial" w:eastAsia="Arial"/>
          <w:color w:val="162019"/>
          <w:sz w:val="20"/>
        </w:rPr>
        <w:t>Communiquer des faits vérifiés et corriger toute information devenue fausse.</w:t>
      </w:r>
    </w:p>
    <w:p>
      <w:pPr>
        <w:numPr>
          <w:ilvl w:val="0"/>
          <w:numId w:val="22"/>
        </w:numPr>
        <w:spacing w:after="80" w:line="283" w:lineRule="auto"/>
      </w:pPr>
      <w:r>
        <w:rPr>
          <w:rFonts w:ascii="Arial" w:hAnsi="Arial" w:eastAsia="Arial"/>
          <w:color w:val="162019"/>
          <w:sz w:val="20"/>
        </w:rPr>
        <w:t>Clore après validation, puis conduire un retour d’expérience sans blâme.</w:t>
      </w:r>
    </w:p>
    <w:p>
      <w:pPr>
        <w:pStyle w:val="Heading2"/>
      </w:pPr>
      <w:r>
        <w:t>Autorité d’urgence</w:t>
      </w:r>
    </w:p>
    <w:tbl>
      <w:tblPr>
        <w:tblStyle w:val="TableGrid"/>
        <w:tblW w:type="dxa" w:w="9500"/>
        <w:jc w:val="left"/>
        <w:tblLayout w:type="fixed"/>
        <w:tblLook w:firstColumn="1" w:firstRow="1" w:lastColumn="0" w:lastRow="0" w:noHBand="0" w:noVBand="1" w:val="04A0"/>
        <w:tblInd w:w="120" w:type="dxa"/>
      </w:tblPr>
      <w:tblGrid>
        <w:gridCol w:w="2600"/>
        <w:gridCol w:w="3000"/>
        <w:gridCol w:w="39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Autorité</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Condition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Suspendre un service testnet</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 Commander / Security owner</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Risque d’intégrité ou propagation</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Révoquer une clé ou un rôle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Propriétaire autorisé</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Suspicion documentée ; validation postérieure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Geler une release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Release owner / Security owner</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Preuve insuffisante ou finding bloquant</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Notifier une partie externe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Communication owner après revue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Faits vérifiés et obligation qualifiée</w:t>
            </w:r>
          </w:p>
        </w:tc>
      </w:tr>
    </w:tbl>
    <w:p>
      <w:pPr>
        <w:spacing w:after="40"/>
      </w:pPr>
    </w:p>
    <w:p>
      <w:pPr>
        <w:keepNext/>
        <w:spacing w:before="440" w:after="100"/>
      </w:pPr>
      <w:r>
        <w:rPr>
          <w:rFonts w:ascii="Arial" w:hAnsi="Arial" w:eastAsia="Arial"/>
          <w:b/>
          <w:color w:val="C6A15B"/>
          <w:sz w:val="16"/>
        </w:rPr>
        <w:t>CHAPITRE 08</w:t>
      </w:r>
    </w:p>
    <w:p>
      <w:pPr>
        <w:pStyle w:val="Heading1"/>
        <w:pageBreakBefore w:val="0"/>
      </w:pPr>
      <w:r>
        <w:t>Playbooks d’incident</w:t>
      </w:r>
    </w:p>
    <w:p>
      <w:pPr>
        <w:pStyle w:val="Heading2"/>
      </w:pPr>
      <w:r>
        <w:t>Compromission de clé ou d’identité</w:t>
      </w:r>
    </w:p>
    <w:p>
      <w:pPr>
        <w:numPr>
          <w:ilvl w:val="0"/>
          <w:numId w:val="23"/>
        </w:numPr>
        <w:spacing w:after="80" w:line="283" w:lineRule="auto"/>
      </w:pPr>
      <w:r>
        <w:rPr>
          <w:rFonts w:ascii="Arial" w:hAnsi="Arial" w:eastAsia="Arial"/>
          <w:color w:val="162019"/>
          <w:sz w:val="20"/>
        </w:rPr>
        <w:t>Révoquer ou suspendre l’identité suspecte sans exposer le secret dans le ticket.</w:t>
      </w:r>
    </w:p>
    <w:p>
      <w:pPr>
        <w:numPr>
          <w:ilvl w:val="0"/>
          <w:numId w:val="23"/>
        </w:numPr>
        <w:spacing w:after="80" w:line="283" w:lineRule="auto"/>
      </w:pPr>
      <w:r>
        <w:rPr>
          <w:rFonts w:ascii="Arial" w:hAnsi="Arial" w:eastAsia="Arial"/>
          <w:color w:val="162019"/>
          <w:sz w:val="20"/>
        </w:rPr>
        <w:t>Identifier les rôles, signatures, transactions et configurations accessibles.</w:t>
      </w:r>
    </w:p>
    <w:p>
      <w:pPr>
        <w:numPr>
          <w:ilvl w:val="0"/>
          <w:numId w:val="23"/>
        </w:numPr>
        <w:spacing w:after="80" w:line="283" w:lineRule="auto"/>
      </w:pPr>
      <w:r>
        <w:rPr>
          <w:rFonts w:ascii="Arial" w:hAnsi="Arial" w:eastAsia="Arial"/>
          <w:color w:val="162019"/>
          <w:sz w:val="20"/>
        </w:rPr>
        <w:t>Préserver journaux, empreintes et chronologie avant rotation.</w:t>
      </w:r>
    </w:p>
    <w:p>
      <w:pPr>
        <w:numPr>
          <w:ilvl w:val="0"/>
          <w:numId w:val="23"/>
        </w:numPr>
        <w:spacing w:after="80" w:line="283" w:lineRule="auto"/>
      </w:pPr>
      <w:r>
        <w:rPr>
          <w:rFonts w:ascii="Arial" w:hAnsi="Arial" w:eastAsia="Arial"/>
          <w:color w:val="162019"/>
          <w:sz w:val="20"/>
        </w:rPr>
        <w:t>Créer une nouvelle identité selon la procédure de secours et réduire ses droits.</w:t>
      </w:r>
    </w:p>
    <w:p>
      <w:pPr>
        <w:numPr>
          <w:ilvl w:val="0"/>
          <w:numId w:val="23"/>
        </w:numPr>
        <w:spacing w:after="80" w:line="283" w:lineRule="auto"/>
      </w:pPr>
      <w:r>
        <w:rPr>
          <w:rFonts w:ascii="Arial" w:hAnsi="Arial" w:eastAsia="Arial"/>
          <w:color w:val="162019"/>
          <w:sz w:val="20"/>
        </w:rPr>
        <w:t>Vérifier toute action effectuée depuis le dernier état de confiance.</w:t>
      </w:r>
    </w:p>
    <w:p>
      <w:pPr>
        <w:numPr>
          <w:ilvl w:val="0"/>
          <w:numId w:val="23"/>
        </w:numPr>
        <w:spacing w:after="80" w:line="283" w:lineRule="auto"/>
      </w:pPr>
      <w:r>
        <w:rPr>
          <w:rFonts w:ascii="Arial" w:hAnsi="Arial" w:eastAsia="Arial"/>
          <w:color w:val="162019"/>
          <w:sz w:val="20"/>
        </w:rPr>
        <w:t>Retester révocation, rotation et chemins d’administration avant reprise.</w:t>
      </w:r>
    </w:p>
    <w:p>
      <w:pPr>
        <w:pStyle w:val="Heading2"/>
      </w:pPr>
      <w:r>
        <w:t>Faux résultat ou preuve compromise</w:t>
      </w:r>
    </w:p>
    <w:p>
      <w:pPr>
        <w:numPr>
          <w:ilvl w:val="0"/>
          <w:numId w:val="24"/>
        </w:numPr>
        <w:spacing w:after="80" w:line="283" w:lineRule="auto"/>
      </w:pPr>
      <w:r>
        <w:rPr>
          <w:rFonts w:ascii="Arial" w:hAnsi="Arial" w:eastAsia="Arial"/>
          <w:color w:val="162019"/>
          <w:sz w:val="20"/>
        </w:rPr>
        <w:t>Suspendre la finalisation ou la conséquence concernée ; rester fail closed.</w:t>
      </w:r>
    </w:p>
    <w:p>
      <w:pPr>
        <w:numPr>
          <w:ilvl w:val="0"/>
          <w:numId w:val="24"/>
        </w:numPr>
        <w:spacing w:after="80" w:line="283" w:lineRule="auto"/>
      </w:pPr>
      <w:r>
        <w:rPr>
          <w:rFonts w:ascii="Arial" w:hAnsi="Arial" w:eastAsia="Arial"/>
          <w:color w:val="162019"/>
          <w:sz w:val="20"/>
        </w:rPr>
        <w:t>Isoler demande, politique, collecteurs, trust domains, RPC, blocs et signatures.</w:t>
      </w:r>
    </w:p>
    <w:p>
      <w:pPr>
        <w:numPr>
          <w:ilvl w:val="0"/>
          <w:numId w:val="24"/>
        </w:numPr>
        <w:spacing w:after="80" w:line="283" w:lineRule="auto"/>
      </w:pPr>
      <w:r>
        <w:rPr>
          <w:rFonts w:ascii="Arial" w:hAnsi="Arial" w:eastAsia="Arial"/>
          <w:color w:val="162019"/>
          <w:sz w:val="20"/>
        </w:rPr>
        <w:t>Rejouer sur une copie contrôlée avec la candidate exacte.</w:t>
      </w:r>
    </w:p>
    <w:p>
      <w:pPr>
        <w:numPr>
          <w:ilvl w:val="0"/>
          <w:numId w:val="24"/>
        </w:numPr>
        <w:spacing w:after="80" w:line="283" w:lineRule="auto"/>
      </w:pPr>
      <w:r>
        <w:rPr>
          <w:rFonts w:ascii="Arial" w:hAnsi="Arial" w:eastAsia="Arial"/>
          <w:color w:val="162019"/>
          <w:sz w:val="20"/>
        </w:rPr>
        <w:t>Classer PROTOCOL_FAULT, CHAIN_FAULT, DEPENDENCY_FAULT ou UNDETERMINED sans accuser un acteur sans preuve.</w:t>
      </w:r>
    </w:p>
    <w:p>
      <w:pPr>
        <w:numPr>
          <w:ilvl w:val="0"/>
          <w:numId w:val="24"/>
        </w:numPr>
        <w:spacing w:after="80" w:line="283" w:lineRule="auto"/>
      </w:pPr>
      <w:r>
        <w:rPr>
          <w:rFonts w:ascii="Arial" w:hAnsi="Arial" w:eastAsia="Arial"/>
          <w:color w:val="162019"/>
          <w:sz w:val="20"/>
        </w:rPr>
        <w:t>Émettre une nouvelle version ou supersession ; ne pas réécrire silencieusement l’historique.</w:t>
      </w:r>
    </w:p>
    <w:p>
      <w:pPr>
        <w:pStyle w:val="Heading2"/>
      </w:pPr>
      <w:r>
        <w:t>Divergence RPC, reorg ou finalité</w:t>
      </w:r>
    </w:p>
    <w:p>
      <w:pPr>
        <w:numPr>
          <w:ilvl w:val="0"/>
          <w:numId w:val="25"/>
        </w:numPr>
        <w:spacing w:after="80" w:line="283" w:lineRule="auto"/>
      </w:pPr>
      <w:r>
        <w:rPr>
          <w:rFonts w:ascii="Arial" w:hAnsi="Arial" w:eastAsia="Arial"/>
          <w:color w:val="162019"/>
          <w:sz w:val="20"/>
        </w:rPr>
        <w:t>bloquer la décision terminale au-delà du seuil de divergence ;</w:t>
      </w:r>
    </w:p>
    <w:p>
      <w:pPr>
        <w:numPr>
          <w:ilvl w:val="0"/>
          <w:numId w:val="25"/>
        </w:numPr>
        <w:spacing w:after="80" w:line="283" w:lineRule="auto"/>
      </w:pPr>
      <w:r>
        <w:rPr>
          <w:rFonts w:ascii="Arial" w:hAnsi="Arial" w:eastAsia="Arial"/>
          <w:color w:val="162019"/>
          <w:sz w:val="20"/>
        </w:rPr>
        <w:t>comparer plusieurs sources réellement indépendantes et consigner leurs blocs ;</w:t>
      </w:r>
    </w:p>
    <w:p>
      <w:pPr>
        <w:numPr>
          <w:ilvl w:val="0"/>
          <w:numId w:val="25"/>
        </w:numPr>
        <w:spacing w:after="80" w:line="283" w:lineRule="auto"/>
      </w:pPr>
      <w:r>
        <w:rPr>
          <w:rFonts w:ascii="Arial" w:hAnsi="Arial" w:eastAsia="Arial"/>
          <w:color w:val="162019"/>
          <w:sz w:val="20"/>
        </w:rPr>
        <w:t>revenir au dernier checkpoint canonique et recalculer l’état ;</w:t>
      </w:r>
    </w:p>
    <w:p>
      <w:pPr>
        <w:numPr>
          <w:ilvl w:val="0"/>
          <w:numId w:val="25"/>
        </w:numPr>
        <w:spacing w:after="80" w:line="283" w:lineRule="auto"/>
      </w:pPr>
      <w:r>
        <w:rPr>
          <w:rFonts w:ascii="Arial" w:hAnsi="Arial" w:eastAsia="Arial"/>
          <w:color w:val="162019"/>
          <w:sz w:val="20"/>
        </w:rPr>
        <w:t>ne reprendre qu’après convergence, confirmations suffisantes et revue.</w:t>
      </w:r>
    </w:p>
    <w:p>
      <w:pPr>
        <w:pStyle w:val="Heading2"/>
      </w:pPr>
      <w:r>
        <w:t>Fuite de données ou de secrets</w:t>
      </w:r>
    </w:p>
    <w:p>
      <w:pPr>
        <w:numPr>
          <w:ilvl w:val="0"/>
          <w:numId w:val="26"/>
        </w:numPr>
        <w:spacing w:after="80" w:line="283" w:lineRule="auto"/>
      </w:pPr>
      <w:r>
        <w:rPr>
          <w:rFonts w:ascii="Arial" w:hAnsi="Arial" w:eastAsia="Arial"/>
          <w:color w:val="162019"/>
          <w:sz w:val="20"/>
        </w:rPr>
        <w:t>retirer l’exposition sans détruire la preuve ; révoquer les secrets touchés ;</w:t>
      </w:r>
    </w:p>
    <w:p>
      <w:pPr>
        <w:numPr>
          <w:ilvl w:val="0"/>
          <w:numId w:val="26"/>
        </w:numPr>
        <w:spacing w:after="80" w:line="283" w:lineRule="auto"/>
      </w:pPr>
      <w:r>
        <w:rPr>
          <w:rFonts w:ascii="Arial" w:hAnsi="Arial" w:eastAsia="Arial"/>
          <w:color w:val="162019"/>
          <w:sz w:val="20"/>
        </w:rPr>
        <w:t>déterminer nature, volume, personnes, durée, accès et exfiltration probable ;</w:t>
      </w:r>
    </w:p>
    <w:p>
      <w:pPr>
        <w:numPr>
          <w:ilvl w:val="0"/>
          <w:numId w:val="26"/>
        </w:numPr>
        <w:spacing w:after="80" w:line="283" w:lineRule="auto"/>
      </w:pPr>
      <w:r>
        <w:rPr>
          <w:rFonts w:ascii="Arial" w:hAnsi="Arial" w:eastAsia="Arial"/>
          <w:color w:val="162019"/>
          <w:sz w:val="20"/>
        </w:rPr>
        <w:t>solliciter la revue juridique ou vie privée pour les obligations applicables ;</w:t>
      </w:r>
    </w:p>
    <w:p>
      <w:pPr>
        <w:numPr>
          <w:ilvl w:val="0"/>
          <w:numId w:val="26"/>
        </w:numPr>
        <w:spacing w:after="80" w:line="283" w:lineRule="auto"/>
      </w:pPr>
      <w:r>
        <w:rPr>
          <w:rFonts w:ascii="Arial" w:hAnsi="Arial" w:eastAsia="Arial"/>
          <w:color w:val="162019"/>
          <w:sz w:val="20"/>
        </w:rPr>
        <w:t>notifier uniquement selon les faits confirmés et les délais applicables ;</w:t>
      </w:r>
    </w:p>
    <w:p>
      <w:pPr>
        <w:numPr>
          <w:ilvl w:val="0"/>
          <w:numId w:val="26"/>
        </w:numPr>
        <w:spacing w:after="80" w:line="283" w:lineRule="auto"/>
      </w:pPr>
      <w:r>
        <w:rPr>
          <w:rFonts w:ascii="Arial" w:hAnsi="Arial" w:eastAsia="Arial"/>
          <w:color w:val="162019"/>
          <w:sz w:val="20"/>
        </w:rPr>
        <w:t>corriger la cause, rechercher les copies et vérifier l’effacement autorisé.</w:t>
      </w:r>
    </w:p>
    <w:p>
      <w:pPr>
        <w:spacing w:before="100" w:after="180" w:line="283" w:lineRule="auto"/>
        <w:ind w:left="227" w:right="170"/>
        <w:shd w:fill="F6F0E3"/>
        <w:pBdr>
          <w:left w:val="single" w:sz="18" w:space="8" w:color="C6A15B"/>
        </w:pBdr>
      </w:pPr>
      <w:r>
        <w:rPr>
          <w:rFonts w:ascii="Arial" w:hAnsi="Arial" w:eastAsia="Arial"/>
          <w:b/>
          <w:color w:val="C6A15B"/>
          <w:sz w:val="16"/>
        </w:rPr>
        <w:t>LIMITE ACTUELLE</w:t>
        <w:br/>
      </w:r>
      <w:r>
        <w:rPr>
          <w:rFonts w:ascii="Arial" w:hAnsi="Arial" w:eastAsia="Arial"/>
          <w:b w:val="0"/>
          <w:color w:val="162019"/>
          <w:sz w:val="20"/>
        </w:rPr>
        <w:t>Aucun playbook ne doit supposer la disponibilité d’une équipe 24/7, d’un multisig, d’un HSM ou d’un fournisseur tant que cette capacité n’est pas réellement contractée et testée.</w:t>
      </w:r>
    </w:p>
    <w:p>
      <w:r>
        <w:br w:type="page"/>
      </w:r>
    </w:p>
    <w:p>
      <w:pPr>
        <w:keepNext/>
        <w:spacing w:before="440" w:after="100"/>
      </w:pPr>
      <w:r>
        <w:rPr>
          <w:rFonts w:ascii="Arial" w:hAnsi="Arial" w:eastAsia="Arial"/>
          <w:b/>
          <w:color w:val="C6A15B"/>
          <w:sz w:val="16"/>
        </w:rPr>
        <w:t>CHAPITRE 09</w:t>
      </w:r>
    </w:p>
    <w:p>
      <w:pPr>
        <w:pStyle w:val="Heading1"/>
        <w:pageBreakBefore w:val="0"/>
      </w:pPr>
      <w:r>
        <w:t>Communication et conservation des preuves</w:t>
      </w:r>
    </w:p>
    <w:p>
      <w:pPr>
        <w:pStyle w:val="Heading2"/>
      </w:pPr>
      <w:r>
        <w:t>Règles de communication</w:t>
      </w:r>
    </w:p>
    <w:tbl>
      <w:tblPr>
        <w:tblStyle w:val="TableGrid"/>
        <w:tblW w:type="dxa" w:w="9500"/>
        <w:jc w:val="left"/>
        <w:tblLayout w:type="fixed"/>
        <w:tblLook w:firstColumn="1" w:firstRow="1" w:lastColumn="0" w:lastRow="0" w:noHBand="0" w:noVBand="1" w:val="04A0"/>
        <w:tblInd w:w="120" w:type="dxa"/>
      </w:tblPr>
      <w:tblGrid>
        <w:gridCol w:w="1900"/>
        <w:gridCol w:w="5400"/>
        <w:gridCol w:w="22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Public</w:t>
            </w:r>
          </w:p>
        </w:tc>
        <w:tc>
          <w:tcPr>
            <w:tcW w:type="dxa" w:w="5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Contenu</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Validation</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Équipe interne</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Faits, hypothèses étiquetées, actions, propriétaire et prochain point</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 Commander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Utilisateur / pilote</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Impact concret, protection, contournement et prochain point</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Communication + technique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Auditeur</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Chronologie, preuves, périmètre, décisions et limites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Security owner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Conseil / autorité</w:t>
            </w:r>
          </w:p>
        </w:tc>
        <w:tc>
          <w:tcPr>
            <w:tcW w:type="dxa" w:w="5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Faits nécessaires et qualification applicable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Revue juridique / vie privée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Public</w:t>
            </w:r>
          </w:p>
        </w:tc>
        <w:tc>
          <w:tcPr>
            <w:tcW w:type="dxa" w:w="5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Message minimal, exact, non spéculatif et mis à jour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Direction + revue compétente</w:t>
            </w:r>
          </w:p>
        </w:tc>
      </w:tr>
    </w:tbl>
    <w:p>
      <w:pPr>
        <w:spacing w:after="40"/>
      </w:pPr>
    </w:p>
    <w:p>
      <w:pPr>
        <w:pStyle w:val="Heading2"/>
      </w:pPr>
      <w:r>
        <w:t>Interdictions de communication</w:t>
      </w:r>
    </w:p>
    <w:p>
      <w:pPr>
        <w:numPr>
          <w:ilvl w:val="0"/>
          <w:numId w:val="27"/>
        </w:numPr>
        <w:spacing w:after="80" w:line="283" w:lineRule="auto"/>
      </w:pPr>
      <w:r>
        <w:rPr>
          <w:rFonts w:ascii="Arial" w:hAnsi="Arial" w:eastAsia="Arial"/>
          <w:color w:val="162019"/>
          <w:sz w:val="20"/>
        </w:rPr>
        <w:t>ne pas attribuer une attaque ou nommer une personne sans preuve et validation ;</w:t>
      </w:r>
    </w:p>
    <w:p>
      <w:pPr>
        <w:numPr>
          <w:ilvl w:val="0"/>
          <w:numId w:val="27"/>
        </w:numPr>
        <w:spacing w:after="80" w:line="283" w:lineRule="auto"/>
      </w:pPr>
      <w:r>
        <w:rPr>
          <w:rFonts w:ascii="Arial" w:hAnsi="Arial" w:eastAsia="Arial"/>
          <w:color w:val="162019"/>
          <w:sz w:val="20"/>
        </w:rPr>
        <w:t>ne pas publier une faiblesse exploitable avant confinement suffisant ;</w:t>
      </w:r>
    </w:p>
    <w:p>
      <w:pPr>
        <w:numPr>
          <w:ilvl w:val="0"/>
          <w:numId w:val="27"/>
        </w:numPr>
        <w:spacing w:after="80" w:line="283" w:lineRule="auto"/>
      </w:pPr>
      <w:r>
        <w:rPr>
          <w:rFonts w:ascii="Arial" w:hAnsi="Arial" w:eastAsia="Arial"/>
          <w:color w:val="162019"/>
          <w:sz w:val="20"/>
        </w:rPr>
        <w:t>ne pas affirmer « aucun impact » tant que le périmètre n’est pas établi ;</w:t>
      </w:r>
    </w:p>
    <w:p>
      <w:pPr>
        <w:numPr>
          <w:ilvl w:val="0"/>
          <w:numId w:val="27"/>
        </w:numPr>
        <w:spacing w:after="80" w:line="283" w:lineRule="auto"/>
      </w:pPr>
      <w:r>
        <w:rPr>
          <w:rFonts w:ascii="Arial" w:hAnsi="Arial" w:eastAsia="Arial"/>
          <w:color w:val="162019"/>
          <w:sz w:val="20"/>
        </w:rPr>
        <w:t>ne pas confondre PASS interne, audit, certification, conformité ou validation client ;</w:t>
      </w:r>
    </w:p>
    <w:p>
      <w:pPr>
        <w:numPr>
          <w:ilvl w:val="0"/>
          <w:numId w:val="27"/>
        </w:numPr>
        <w:spacing w:after="80" w:line="283" w:lineRule="auto"/>
      </w:pPr>
      <w:r>
        <w:rPr>
          <w:rFonts w:ascii="Arial" w:hAnsi="Arial" w:eastAsia="Arial"/>
          <w:color w:val="162019"/>
          <w:sz w:val="20"/>
        </w:rPr>
        <w:t>ne pas inclure de clé, secret, donnée personnelle ou instruction d’exploitation.</w:t>
      </w:r>
    </w:p>
    <w:p>
      <w:pPr>
        <w:pStyle w:val="Heading2"/>
      </w:pPr>
      <w:r>
        <w:t>Chaîne de conservation</w:t>
      </w:r>
    </w:p>
    <w:p>
      <w:pPr>
        <w:numPr>
          <w:ilvl w:val="0"/>
          <w:numId w:val="28"/>
        </w:numPr>
        <w:spacing w:after="80" w:line="283" w:lineRule="auto"/>
      </w:pPr>
      <w:r>
        <w:rPr>
          <w:rFonts w:ascii="Arial" w:hAnsi="Arial" w:eastAsia="Arial"/>
          <w:color w:val="162019"/>
          <w:sz w:val="20"/>
        </w:rPr>
        <w:t>Copier l’artefact depuis la source autorisée en préservant l’original.</w:t>
      </w:r>
    </w:p>
    <w:p>
      <w:pPr>
        <w:numPr>
          <w:ilvl w:val="0"/>
          <w:numId w:val="28"/>
        </w:numPr>
        <w:spacing w:after="80" w:line="283" w:lineRule="auto"/>
      </w:pPr>
      <w:r>
        <w:rPr>
          <w:rFonts w:ascii="Arial" w:hAnsi="Arial" w:eastAsia="Arial"/>
          <w:color w:val="162019"/>
          <w:sz w:val="20"/>
        </w:rPr>
        <w:t>Enregistrer origine, collecteur, date, fuseau, méthode et périmètre.</w:t>
      </w:r>
    </w:p>
    <w:p>
      <w:pPr>
        <w:numPr>
          <w:ilvl w:val="0"/>
          <w:numId w:val="28"/>
        </w:numPr>
        <w:spacing w:after="80" w:line="283" w:lineRule="auto"/>
      </w:pPr>
      <w:r>
        <w:rPr>
          <w:rFonts w:ascii="Arial" w:hAnsi="Arial" w:eastAsia="Arial"/>
          <w:color w:val="162019"/>
          <w:sz w:val="20"/>
        </w:rPr>
        <w:t>Calculer une empreinte et stocker la copie en lecture restreinte.</w:t>
      </w:r>
    </w:p>
    <w:p>
      <w:pPr>
        <w:numPr>
          <w:ilvl w:val="0"/>
          <w:numId w:val="28"/>
        </w:numPr>
        <w:spacing w:after="80" w:line="283" w:lineRule="auto"/>
      </w:pPr>
      <w:r>
        <w:rPr>
          <w:rFonts w:ascii="Arial" w:hAnsi="Arial" w:eastAsia="Arial"/>
          <w:color w:val="162019"/>
          <w:sz w:val="20"/>
        </w:rPr>
        <w:t>Journaliser chaque accès, transformation ou export.</w:t>
      </w:r>
    </w:p>
    <w:p>
      <w:pPr>
        <w:numPr>
          <w:ilvl w:val="0"/>
          <w:numId w:val="28"/>
        </w:numPr>
        <w:spacing w:after="80" w:line="283" w:lineRule="auto"/>
      </w:pPr>
      <w:r>
        <w:rPr>
          <w:rFonts w:ascii="Arial" w:hAnsi="Arial" w:eastAsia="Arial"/>
          <w:color w:val="162019"/>
          <w:sz w:val="20"/>
        </w:rPr>
        <w:t>Relier l’artefact aux décisions sans modifier son contenu.</w:t>
      </w:r>
    </w:p>
    <w:p>
      <w:pPr>
        <w:numPr>
          <w:ilvl w:val="0"/>
          <w:numId w:val="28"/>
        </w:numPr>
        <w:spacing w:after="80" w:line="283" w:lineRule="auto"/>
      </w:pPr>
      <w:r>
        <w:rPr>
          <w:rFonts w:ascii="Arial" w:hAnsi="Arial" w:eastAsia="Arial"/>
          <w:color w:val="162019"/>
          <w:sz w:val="20"/>
        </w:rPr>
        <w:t>Appliquer la politique de rétention et la suppression autorisée après clôture.</w:t>
      </w:r>
    </w:p>
    <w:p>
      <w:pPr>
        <w:pStyle w:val="Heading2"/>
      </w:pPr>
      <w:r>
        <w:t>Chronologie minimale</w:t>
      </w:r>
    </w:p>
    <w:tbl>
      <w:tblPr>
        <w:tblStyle w:val="TableGrid"/>
        <w:tblW w:type="dxa" w:w="9500"/>
        <w:jc w:val="left"/>
        <w:tblLayout w:type="fixed"/>
        <w:tblLook w:firstColumn="1" w:firstRow="1" w:lastColumn="0" w:lastRow="0" w:noHBand="0" w:noVBand="1" w:val="04A0"/>
        <w:tblInd w:w="120" w:type="dxa"/>
      </w:tblPr>
      <w:tblGrid>
        <w:gridCol w:w="1500"/>
        <w:gridCol w:w="1800"/>
        <w:gridCol w:w="3200"/>
        <w:gridCol w:w="1500"/>
        <w:gridCol w:w="15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Heure UTC</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Acteur</w:t>
            </w:r>
          </w:p>
        </w:tc>
        <w:tc>
          <w:tcPr>
            <w:tcW w:type="dxa" w:w="3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Événement / décision</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Artefact</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Confiance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Détection initiale</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LIER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Fait / hypothèse</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Qualification</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LIER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Fait / hypothèse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Confinement</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LIER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Fait / hypothèse</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Restauration</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LIER</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Fait / hypothèse</w:t>
            </w:r>
          </w:p>
        </w:tc>
      </w:tr>
    </w:tbl>
    <w:p>
      <w:pPr>
        <w:spacing w:after="40"/>
      </w:pPr>
    </w:p>
    <w:p>
      <w:pPr>
        <w:keepNext/>
        <w:spacing w:before="440" w:after="100"/>
      </w:pPr>
      <w:r>
        <w:rPr>
          <w:rFonts w:ascii="Arial" w:hAnsi="Arial" w:eastAsia="Arial"/>
          <w:b/>
          <w:color w:val="C6A15B"/>
          <w:sz w:val="16"/>
        </w:rPr>
        <w:t>CHAPITRE 10</w:t>
      </w:r>
    </w:p>
    <w:p>
      <w:pPr>
        <w:pStyle w:val="Heading1"/>
        <w:pageBreakBefore w:val="0"/>
      </w:pPr>
      <w:r>
        <w:t>Continuité, reprise et exercices</w:t>
      </w:r>
    </w:p>
    <w:p>
      <w:pPr>
        <w:pStyle w:val="Heading2"/>
      </w:pPr>
      <w:r>
        <w:t>Priorités de reprise</w:t>
      </w:r>
    </w:p>
    <w:tbl>
      <w:tblPr>
        <w:tblStyle w:val="TableGrid"/>
        <w:tblW w:type="dxa" w:w="9500"/>
        <w:jc w:val="left"/>
        <w:tblLayout w:type="fixed"/>
        <w:tblLook w:firstColumn="1" w:firstRow="1" w:lastColumn="0" w:lastRow="0" w:noHBand="0" w:noVBand="1" w:val="04A0"/>
        <w:tblInd w:w="120" w:type="dxa"/>
      </w:tblPr>
      <w:tblGrid>
        <w:gridCol w:w="1500"/>
        <w:gridCol w:w="3800"/>
        <w:gridCol w:w="42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Priorité</w:t>
            </w:r>
          </w:p>
        </w:tc>
        <w:tc>
          <w:tcPr>
            <w:tcW w:type="dxa" w:w="3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Capacité</w:t>
            </w:r>
          </w:p>
        </w:tc>
        <w:tc>
          <w:tcPr>
            <w:tcW w:type="dxa" w:w="4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de reprise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P0</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Intégrité des clés, rôles et politiques</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Identité de confiance et accès bornés</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P1</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canonique, persistance et indexation</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Checkpoint vérifié et divergence résolue</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P2</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Classification et Proof Certificates</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Résultats reproductibles et explicables</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P3</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Interfaces et fonctions non critiques</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Surveillance stable et support disponible</w:t>
            </w:r>
          </w:p>
        </w:tc>
      </w:tr>
    </w:tbl>
    <w:p>
      <w:pPr>
        <w:spacing w:after="40"/>
      </w:pPr>
    </w:p>
    <w:p>
      <w:pPr>
        <w:pStyle w:val="Heading2"/>
      </w:pPr>
      <w:r>
        <w:t>Paramètres à fixer</w:t>
      </w:r>
    </w:p>
    <w:tbl>
      <w:tblPr>
        <w:tblStyle w:val="TableGrid"/>
        <w:tblW w:type="dxa" w:w="9500"/>
        <w:jc w:val="left"/>
        <w:tblLayout w:type="fixed"/>
        <w:tblLook w:firstColumn="1" w:firstRow="1" w:lastColumn="0" w:lastRow="0" w:noHBand="0" w:noVBand="1" w:val="04A0"/>
        <w:tblInd w:w="120" w:type="dxa"/>
      </w:tblPr>
      <w:tblGrid>
        <w:gridCol w:w="1900"/>
        <w:gridCol w:w="4800"/>
        <w:gridCol w:w="28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Paramètre</w:t>
            </w:r>
          </w:p>
        </w:tc>
        <w:tc>
          <w:tcPr>
            <w:tcW w:type="dxa" w:w="4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Définition</w:t>
            </w:r>
          </w:p>
        </w:tc>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RTO</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Temps cible de restauration par capacité</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DÉFINIR ET TESTER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RPO</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Perte de données maximale acceptable</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DÉFINIR ET TESTER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Checkpoint</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État vérifié permettant la reprise</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IMPLÉMENTER / PROUVER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Rollback</w:t>
            </w:r>
          </w:p>
        </w:tc>
        <w:tc>
          <w:tcPr>
            <w:tcW w:type="dxa" w:w="4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Retour vers version ou état sûr</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TESTER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Backup</w:t>
            </w:r>
          </w:p>
        </w:tc>
        <w:tc>
          <w:tcPr>
            <w:tcW w:type="dxa" w:w="4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Copie, chiffrement, séparation et rétention</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IMPLÉMENTER / PROUVER</w:t>
            </w:r>
          </w:p>
        </w:tc>
      </w:tr>
    </w:tbl>
    <w:p>
      <w:pPr>
        <w:spacing w:after="40"/>
      </w:pPr>
    </w:p>
    <w:p>
      <w:pPr>
        <w:pStyle w:val="Heading2"/>
      </w:pPr>
      <w:r>
        <w:t>Exercices obligatoires avant pilote externe</w:t>
      </w:r>
    </w:p>
    <w:p>
      <w:pPr>
        <w:numPr>
          <w:ilvl w:val="0"/>
          <w:numId w:val="29"/>
        </w:numPr>
        <w:spacing w:after="80" w:line="283" w:lineRule="auto"/>
      </w:pPr>
      <w:r>
        <w:rPr>
          <w:rFonts w:ascii="Arial" w:hAnsi="Arial" w:eastAsia="Arial"/>
          <w:color w:val="162019"/>
          <w:sz w:val="20"/>
        </w:rPr>
        <w:t>compromission simulée d’une clé test et révocation complète ;</w:t>
      </w:r>
    </w:p>
    <w:p>
      <w:pPr>
        <w:numPr>
          <w:ilvl w:val="0"/>
          <w:numId w:val="29"/>
        </w:numPr>
        <w:spacing w:after="80" w:line="283" w:lineRule="auto"/>
      </w:pPr>
      <w:r>
        <w:rPr>
          <w:rFonts w:ascii="Arial" w:hAnsi="Arial" w:eastAsia="Arial"/>
          <w:color w:val="162019"/>
          <w:sz w:val="20"/>
        </w:rPr>
        <w:t>arrêt brutal d’un service, reprise depuis checkpoint et comparaison d’état ;</w:t>
      </w:r>
    </w:p>
    <w:p>
      <w:pPr>
        <w:numPr>
          <w:ilvl w:val="0"/>
          <w:numId w:val="29"/>
        </w:numPr>
        <w:spacing w:after="80" w:line="283" w:lineRule="auto"/>
      </w:pPr>
      <w:r>
        <w:rPr>
          <w:rFonts w:ascii="Arial" w:hAnsi="Arial" w:eastAsia="Arial"/>
          <w:color w:val="162019"/>
          <w:sz w:val="20"/>
        </w:rPr>
        <w:t>divergence RPC ou reorg simulé avec blocage de finalisation ;</w:t>
      </w:r>
    </w:p>
    <w:p>
      <w:pPr>
        <w:numPr>
          <w:ilvl w:val="0"/>
          <w:numId w:val="29"/>
        </w:numPr>
        <w:spacing w:after="80" w:line="283" w:lineRule="auto"/>
      </w:pPr>
      <w:r>
        <w:rPr>
          <w:rFonts w:ascii="Arial" w:hAnsi="Arial" w:eastAsia="Arial"/>
          <w:color w:val="162019"/>
          <w:sz w:val="20"/>
        </w:rPr>
        <w:t>faux PROVIDER_FAULT injecté et détection avant conséquence ;</w:t>
      </w:r>
    </w:p>
    <w:p>
      <w:pPr>
        <w:numPr>
          <w:ilvl w:val="0"/>
          <w:numId w:val="29"/>
        </w:numPr>
        <w:spacing w:after="80" w:line="283" w:lineRule="auto"/>
      </w:pPr>
      <w:r>
        <w:rPr>
          <w:rFonts w:ascii="Arial" w:hAnsi="Arial" w:eastAsia="Arial"/>
          <w:color w:val="162019"/>
          <w:sz w:val="20"/>
        </w:rPr>
        <w:t>restauration d’une sauvegarde par une autre personne que son auteur ;</w:t>
      </w:r>
    </w:p>
    <w:p>
      <w:pPr>
        <w:numPr>
          <w:ilvl w:val="0"/>
          <w:numId w:val="29"/>
        </w:numPr>
        <w:spacing w:after="80" w:line="283" w:lineRule="auto"/>
      </w:pPr>
      <w:r>
        <w:rPr>
          <w:rFonts w:ascii="Arial" w:hAnsi="Arial" w:eastAsia="Arial"/>
          <w:color w:val="162019"/>
          <w:sz w:val="20"/>
        </w:rPr>
        <w:t>tabletop incident avec chronologie, rôles, communication et décision de reprise.</w:t>
      </w:r>
    </w:p>
    <w:p>
      <w:pPr>
        <w:spacing w:before="100" w:after="180" w:line="283" w:lineRule="auto"/>
        <w:ind w:left="227" w:right="170"/>
        <w:shd w:fill="F6F0E3"/>
        <w:pBdr>
          <w:left w:val="single" w:sz="18" w:space="8" w:color="C6A15B"/>
        </w:pBdr>
      </w:pPr>
      <w:r>
        <w:rPr>
          <w:rFonts w:ascii="Arial" w:hAnsi="Arial" w:eastAsia="Arial"/>
          <w:b/>
          <w:color w:val="C6A15B"/>
          <w:sz w:val="16"/>
        </w:rPr>
        <w:t>CRITÈRE DE VÉRITÉ</w:t>
        <w:br/>
      </w:r>
      <w:r>
        <w:rPr>
          <w:rFonts w:ascii="Arial" w:hAnsi="Arial" w:eastAsia="Arial"/>
          <w:b w:val="0"/>
          <w:color w:val="162019"/>
          <w:sz w:val="20"/>
        </w:rPr>
        <w:t>Une sauvegarde non restaurée, un rollback non exécuté ou une clé de secours non testée ne constitue pas une capacité de reprise.</w:t>
      </w:r>
    </w:p>
    <w:p>
      <w:r>
        <w:br w:type="page"/>
      </w:r>
    </w:p>
    <w:p>
      <w:pPr>
        <w:keepNext/>
        <w:spacing w:before="440" w:after="100"/>
      </w:pPr>
      <w:r>
        <w:rPr>
          <w:rFonts w:ascii="Arial" w:hAnsi="Arial" w:eastAsia="Arial"/>
          <w:b/>
          <w:color w:val="C6A15B"/>
          <w:sz w:val="16"/>
        </w:rPr>
        <w:t>CHAPITRE 11</w:t>
      </w:r>
    </w:p>
    <w:p>
      <w:pPr>
        <w:pStyle w:val="Heading1"/>
        <w:pageBreakBefore w:val="0"/>
      </w:pPr>
      <w:r>
        <w:t>Registres, métriques et annexes</w:t>
      </w:r>
    </w:p>
    <w:p>
      <w:pPr>
        <w:pStyle w:val="Heading2"/>
      </w:pPr>
      <w:r>
        <w:t>Métriques de pilotage</w:t>
      </w:r>
    </w:p>
    <w:tbl>
      <w:tblPr>
        <w:tblStyle w:val="TableGrid"/>
        <w:tblW w:type="dxa" w:w="9500"/>
        <w:jc w:val="left"/>
        <w:tblLayout w:type="fixed"/>
        <w:tblLook w:firstColumn="1" w:firstRow="1" w:lastColumn="0" w:lastRow="0" w:noHBand="0" w:noVBand="1" w:val="04A0"/>
        <w:tblInd w:w="120" w:type="dxa"/>
      </w:tblPr>
      <w:tblGrid>
        <w:gridCol w:w="2100"/>
        <w:gridCol w:w="3900"/>
        <w:gridCol w:w="35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Métrique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Calcul</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But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de détection</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Début estimé → première alerte</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Mesurer la visibilité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de qualification</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Alerte → sévérité confirmée</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Réduire l’incertitude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de confinement</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Détection → propagation stoppée</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Limiter l’impact</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de reprise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Confinement → service contrôlé</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Tester la résilience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Récidive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Incidents de même cause / période</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Vérifier l’éradication</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Couverture des preuves</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Décisions avec artefact / décisions critiques</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Éviter les PASS déclaratifs</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 obsolètes</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 non justifiés / accès revus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Réduire l’exposition</w:t>
            </w:r>
          </w:p>
        </w:tc>
      </w:tr>
    </w:tbl>
    <w:p>
      <w:pPr>
        <w:spacing w:after="40"/>
      </w:pPr>
    </w:p>
    <w:p>
      <w:pPr>
        <w:pStyle w:val="Heading2"/>
      </w:pPr>
      <w:r>
        <w:t>Registre d’incidents</w:t>
      </w:r>
    </w:p>
    <w:tbl>
      <w:tblPr>
        <w:tblStyle w:val="TableGrid"/>
        <w:tblW w:type="dxa" w:w="9500"/>
        <w:jc w:val="left"/>
        <w:tblLayout w:type="fixed"/>
        <w:tblLook w:firstColumn="1" w:firstRow="1" w:lastColumn="0" w:lastRow="0" w:noHBand="0" w:noVBand="1" w:val="04A0"/>
        <w:tblInd w:w="120" w:type="dxa"/>
      </w:tblPr>
      <w:tblGrid>
        <w:gridCol w:w="1200"/>
        <w:gridCol w:w="1500"/>
        <w:gridCol w:w="900"/>
        <w:gridCol w:w="2100"/>
        <w:gridCol w:w="1200"/>
        <w:gridCol w:w="1400"/>
        <w:gridCol w:w="12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SEV</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Périmètre</w:t>
            </w:r>
          </w:p>
        </w:tc>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Owner</w:t>
            </w:r>
          </w:p>
        </w:tc>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REX</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INC-XXXX</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1–4</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NOMMER</w:t>
            </w:r>
          </w:p>
        </w:tc>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LIER</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INC-XXXX</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1–4</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CLOS</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NOMMER</w:t>
            </w:r>
          </w:p>
        </w:tc>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LIER</w:t>
            </w:r>
          </w:p>
        </w:tc>
      </w:tr>
    </w:tbl>
    <w:p>
      <w:pPr>
        <w:spacing w:after="40"/>
      </w:pPr>
    </w:p>
    <w:p>
      <w:pPr>
        <w:pStyle w:val="Heading2"/>
      </w:pPr>
      <w:r>
        <w:t>Index des annexes</w:t>
      </w:r>
    </w:p>
    <w:tbl>
      <w:tblPr>
        <w:tblStyle w:val="TableGrid"/>
        <w:tblW w:type="dxa" w:w="9500"/>
        <w:jc w:val="left"/>
        <w:tblLayout w:type="fixed"/>
        <w:tblLook w:firstColumn="1" w:firstRow="1" w:lastColumn="0" w:lastRow="0" w:noHBand="0" w:noVBand="1" w:val="04A0"/>
        <w:tblInd w:w="120" w:type="dxa"/>
      </w:tblPr>
      <w:tblGrid>
        <w:gridCol w:w="1400"/>
        <w:gridCol w:w="5900"/>
        <w:gridCol w:w="2200"/>
      </w:tblGrid>
      <w:tr>
        <w:trPr>
          <w:tblHeader w:val="true"/>
          <w:cantSplit/>
        </w:trPr>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Réf.</w:t>
            </w:r>
          </w:p>
        </w:tc>
        <w:tc>
          <w:tcPr>
            <w:tcW w:type="dxa" w:w="5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SEC-A01</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Inventaire des actifs et propriétaires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SEC-A02</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Matrice des accès et rôles on-chain</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RÉCONCILIER</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SEC-A03</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Procédure de création, rotation et révocation des clés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TESTER</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SEC-A04</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des risques et acceptations</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SEC-A05</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des findings et retests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SEC-A06</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Catalogue d’alertes et tests de déclenchement</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CONSTRUIRE</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SEC-A07</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Runbooks d’incident détaillés</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TESTER</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SEC-A08</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Preuves d’exercices de reprise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SEC-A09</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Base Sepolia</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r>
      <w:tr>
        <w:trPr>
          <w:cantSplit/>
        </w:trPr>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SEC-A10</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d’audit indépendant</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NON RÉALISÉ</w:t>
            </w:r>
          </w:p>
        </w:tc>
      </w:tr>
    </w:tbl>
    <w:p>
      <w:pPr>
        <w:spacing w:after="40"/>
      </w:pPr>
    </w:p>
    <w:p>
      <w:r>
        <w:br w:type="page"/>
      </w:r>
    </w:p>
    <w:p>
      <w:pPr>
        <w:pStyle w:val="Heading2"/>
      </w:pPr>
      <w:r>
        <w:t>Approbation</w:t>
      </w:r>
    </w:p>
    <w:tbl>
      <w:tblPr>
        <w:tblStyle w:val="TableGrid"/>
        <w:tblW w:type="dxa" w:w="9500"/>
        <w:jc w:val="left"/>
        <w:tblLayout w:type="fixed"/>
        <w:tblLook w:firstColumn="1" w:firstRow="1" w:lastColumn="0" w:lastRow="0" w:noHBand="0" w:noVBand="1" w:val="04A0"/>
        <w:tblInd w:w="120" w:type="dxa"/>
      </w:tblPr>
      <w:tblGrid>
        <w:gridCol w:w="2400"/>
        <w:gridCol w:w="2200"/>
        <w:gridCol w:w="3200"/>
        <w:gridCol w:w="1700"/>
      </w:tblGrid>
      <w:tr>
        <w:trPr>
          <w:tblHeader w:val="true"/>
          <w:cantSplit/>
        </w:trPr>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3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Décision / signature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Security owner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Responsable technique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Direction Pacturion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APPROUVÉ / À RÉVISER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CLÔTURE V1.0</w:t>
        <w:br/>
      </w:r>
      <w:r>
        <w:rPr>
          <w:rFonts w:ascii="Arial" w:hAnsi="Arial" w:eastAsia="Arial"/>
          <w:b w:val="0"/>
          <w:color w:val="162019"/>
          <w:sz w:val="20"/>
        </w:rPr>
        <w:t>Le dispositif est défini mais reste à implémenter, tester et prouver. Aucune ligne de ce dossier ne doit être présentée comme un contrôle opérationnel effectif sans artefact correspondant.</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SÉCURITÉ V1.0</w:t>
    </w:r>
    <w:r>
      <w:rPr>
        <w:rFonts w:ascii="Arial" w:hAnsi="Arial" w:eastAsia="Arial"/>
        <w:b/>
        <w:color w:val="C6A15B"/>
        <w:sz w:val="14"/>
      </w:rPr>
      <w:tab/>
      <w:t xml:space="preserve">DOSSIER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SÉCURITÉ ET INCIDENTS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bullet"/>
      <w:lvlText w:val="•"/>
      <w:suff w:val="tab"/>
      <w:pPr>
        <w:tabs>
          <w:tab w:val="num" w:pos="540"/>
        </w:tabs>
        <w:ind w:left="540" w:hanging="270"/>
      </w:pPr>
      <w:rPr>
        <w:color w:val="C6A15B"/>
      </w:rPr>
    </w:lvl>
  </w:abstractNum>
  <w:num w:numId="17">
    <w:abstractNumId w:val="16"/>
  </w:num>
  <w:abstractNum w:abstractNumId="17">
    <w:multiLevelType w:val="singleLevel"/>
    <w:lvl w:ilvl="0">
      <w:start w:val="1"/>
      <w:numFmt w:val="decimal"/>
      <w:lvlText w:val="%1."/>
      <w:suff w:val="tab"/>
      <w:pPr>
        <w:tabs>
          <w:tab w:val="num" w:pos="540"/>
        </w:tabs>
        <w:ind w:left="540" w:hanging="270"/>
      </w:pPr>
      <w:rPr>
        <w:color w:val="155A3E"/>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decimal"/>
      <w:lvlText w:val="%1."/>
      <w:suff w:val="tab"/>
      <w:pPr>
        <w:tabs>
          <w:tab w:val="num" w:pos="540"/>
        </w:tabs>
        <w:ind w:left="540" w:hanging="270"/>
      </w:pPr>
      <w:rPr>
        <w:color w:val="155A3E"/>
      </w:rPr>
    </w:lvl>
  </w:abstractNum>
  <w:num w:numId="20">
    <w:abstractNumId w:val="19"/>
  </w:num>
  <w:abstractNum w:abstractNumId="20">
    <w:multiLevelType w:val="singleLevel"/>
    <w:lvl w:ilvl="0">
      <w:start w:val="1"/>
      <w:numFmt w:val="bullet"/>
      <w:lvlText w:val="•"/>
      <w:suff w:val="tab"/>
      <w:pPr>
        <w:tabs>
          <w:tab w:val="num" w:pos="540"/>
        </w:tabs>
        <w:ind w:left="540" w:hanging="270"/>
      </w:pPr>
      <w:rPr>
        <w:color w:val="C6A15B"/>
      </w:rPr>
    </w:lvl>
  </w:abstractNum>
  <w:num w:numId="21">
    <w:abstractNumId w:val="20"/>
  </w:num>
  <w:abstractNum w:abstractNumId="21">
    <w:multiLevelType w:val="singleLevel"/>
    <w:lvl w:ilvl="0">
      <w:start w:val="1"/>
      <w:numFmt w:val="decimal"/>
      <w:lvlText w:val="%1."/>
      <w:suff w:val="tab"/>
      <w:pPr>
        <w:tabs>
          <w:tab w:val="num" w:pos="540"/>
        </w:tabs>
        <w:ind w:left="540" w:hanging="270"/>
      </w:pPr>
      <w:rPr>
        <w:color w:val="155A3E"/>
      </w:rPr>
    </w:lvl>
  </w:abstractNum>
  <w:num w:numId="22">
    <w:abstractNumId w:val="21"/>
  </w:num>
  <w:abstractNum w:abstractNumId="22">
    <w:multiLevelType w:val="singleLevel"/>
    <w:lvl w:ilvl="0">
      <w:start w:val="1"/>
      <w:numFmt w:val="decimal"/>
      <w:lvlText w:val="%1."/>
      <w:suff w:val="tab"/>
      <w:pPr>
        <w:tabs>
          <w:tab w:val="num" w:pos="540"/>
        </w:tabs>
        <w:ind w:left="540" w:hanging="270"/>
      </w:pPr>
      <w:rPr>
        <w:color w:val="155A3E"/>
      </w:rPr>
    </w:lvl>
  </w:abstractNum>
  <w:num w:numId="23">
    <w:abstractNumId w:val="22"/>
  </w:num>
  <w:abstractNum w:abstractNumId="23">
    <w:multiLevelType w:val="singleLevel"/>
    <w:lvl w:ilvl="0">
      <w:start w:val="1"/>
      <w:numFmt w:val="decimal"/>
      <w:lvlText w:val="%1."/>
      <w:suff w:val="tab"/>
      <w:pPr>
        <w:tabs>
          <w:tab w:val="num" w:pos="540"/>
        </w:tabs>
        <w:ind w:left="540" w:hanging="270"/>
      </w:pPr>
      <w:rPr>
        <w:color w:val="155A3E"/>
      </w:rPr>
    </w:lvl>
  </w:abstractNum>
  <w:num w:numId="24">
    <w:abstractNumId w:val="23"/>
  </w:num>
  <w:abstractNum w:abstractNumId="24">
    <w:multiLevelType w:val="singleLevel"/>
    <w:lvl w:ilvl="0">
      <w:start w:val="1"/>
      <w:numFmt w:val="bullet"/>
      <w:lvlText w:val="•"/>
      <w:suff w:val="tab"/>
      <w:pPr>
        <w:tabs>
          <w:tab w:val="num" w:pos="540"/>
        </w:tabs>
        <w:ind w:left="540" w:hanging="270"/>
      </w:pPr>
      <w:rPr>
        <w:color w:val="C6A15B"/>
      </w:rPr>
    </w:lvl>
  </w:abstractNum>
  <w:num w:numId="25">
    <w:abstractNumId w:val="24"/>
  </w:num>
  <w:abstractNum w:abstractNumId="25">
    <w:multiLevelType w:val="singleLevel"/>
    <w:lvl w:ilvl="0">
      <w:start w:val="1"/>
      <w:numFmt w:val="bullet"/>
      <w:lvlText w:val="•"/>
      <w:suff w:val="tab"/>
      <w:pPr>
        <w:tabs>
          <w:tab w:val="num" w:pos="540"/>
        </w:tabs>
        <w:ind w:left="540" w:hanging="270"/>
      </w:pPr>
      <w:rPr>
        <w:color w:val="C6A15B"/>
      </w:rPr>
    </w:lvl>
  </w:abstractNum>
  <w:num w:numId="26">
    <w:abstractNumId w:val="25"/>
  </w:num>
  <w:abstractNum w:abstractNumId="26">
    <w:multiLevelType w:val="singleLevel"/>
    <w:lvl w:ilvl="0">
      <w:start w:val="1"/>
      <w:numFmt w:val="bullet"/>
      <w:lvlText w:val="•"/>
      <w:suff w:val="tab"/>
      <w:pPr>
        <w:tabs>
          <w:tab w:val="num" w:pos="540"/>
        </w:tabs>
        <w:ind w:left="540" w:hanging="270"/>
      </w:pPr>
      <w:rPr>
        <w:color w:val="C6A15B"/>
      </w:rPr>
    </w:lvl>
  </w:abstractNum>
  <w:num w:numId="27">
    <w:abstractNumId w:val="26"/>
  </w:num>
  <w:abstractNum w:abstractNumId="27">
    <w:multiLevelType w:val="singleLevel"/>
    <w:lvl w:ilvl="0">
      <w:start w:val="1"/>
      <w:numFmt w:val="decimal"/>
      <w:lvlText w:val="%1."/>
      <w:suff w:val="tab"/>
      <w:pPr>
        <w:tabs>
          <w:tab w:val="num" w:pos="540"/>
        </w:tabs>
        <w:ind w:left="540" w:hanging="270"/>
      </w:pPr>
      <w:rPr>
        <w:color w:val="155A3E"/>
      </w:rPr>
    </w:lvl>
  </w:abstractNum>
  <w:num w:numId="28">
    <w:abstractNumId w:val="27"/>
  </w:num>
  <w:abstractNum w:abstractNumId="28">
    <w:multiLevelType w:val="singleLevel"/>
    <w:lvl w:ilvl="0">
      <w:start w:val="1"/>
      <w:numFmt w:val="bullet"/>
      <w:lvlText w:val="•"/>
      <w:suff w:val="tab"/>
      <w:pPr>
        <w:tabs>
          <w:tab w:val="num" w:pos="540"/>
        </w:tabs>
        <w:ind w:left="540" w:hanging="270"/>
      </w:pPr>
      <w:rPr>
        <w:color w:val="C6A15B"/>
      </w:rPr>
    </w:lvl>
  </w:abstractNum>
  <w:num w:numId="2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Dossier de sécurité et gestion des incidents V1.0</dc:title>
  <dc:subject>Politique de sécurité, réponse aux incidents et continuité pour ALPHA / VERIDIA Protocol</dc:subject>
  <dc:creator>Pacturion</dc:creator>
  <cp:keywords>Pacturion, VERIDIA Protocol, ALPHA, sécurité, incident, vulnérabilité, reprise, clés</cp:keywords>
  <dc:description>Cible contrôlée — contrôles à implémenter, tester et prouver</dc:description>
  <cp:lastModifiedBy/>
  <cp:revision>1</cp:revision>
  <dcterms:created xsi:type="dcterms:W3CDTF">2013-12-23T23:15:00Z</dcterms:created>
  <dcterms:modified xsi:type="dcterms:W3CDTF">2013-12-23T23:15:00Z</dcterms:modified>
  <cp:category/>
</cp:coreProperties>
</file>