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80"/>
        <w:jc w:val="center"/>
      </w:pPr>
      <w:r>
        <w:drawing>
          <wp:inline xmlns:a="http://schemas.openxmlformats.org/drawingml/2006/main" xmlns:pic="http://schemas.openxmlformats.org/drawingml/2006/picture">
            <wp:extent cx="6120000" cy="1036190"/>
            <wp:docPr id="1" name="Picture 1" descr="Bannière Pacturion avec logo doré sur fond sombre et ligne d’horizon lumineuse" title="Pacturion"/>
            <wp:cNvGraphicFramePr>
              <a:graphicFrameLocks noChangeAspect="1"/>
            </wp:cNvGraphicFramePr>
            <a:graphic>
              <a:graphicData uri="http://schemas.openxmlformats.org/drawingml/2006/picture">
                <pic:pic>
                  <pic:nvPicPr>
                    <pic:cNvPr id="0" name="image.png"/>
                    <pic:cNvPicPr/>
                  </pic:nvPicPr>
                  <pic:blipFill>
                    <a:blip r:embed="rId11"/>
                    <a:stretch>
                      <a:fillRect/>
                    </a:stretch>
                  </pic:blipFill>
                  <pic:spPr>
                    <a:xfrm>
                      <a:off x="0" y="0"/>
                      <a:ext cx="6120000" cy="1036190"/>
                    </a:xfrm>
                    <a:prstGeom prst="rect"/>
                  </pic:spPr>
                </pic:pic>
              </a:graphicData>
            </a:graphic>
          </wp:inline>
        </w:drawing>
      </w:r>
    </w:p>
    <w:p>
      <w:pPr>
        <w:spacing w:after="80"/>
      </w:pPr>
      <w:r>
        <w:rPr>
          <w:rFonts w:ascii="Arial" w:hAnsi="Arial" w:eastAsia="Arial"/>
          <w:b/>
          <w:color w:val="06110B"/>
          <w:sz w:val="46"/>
        </w:rPr>
        <w:t>GOUVERNANCE, CONFORMITÉ ET DÉCISION MICA</w:t>
      </w:r>
    </w:p>
    <w:p>
      <w:pPr>
        <w:spacing w:after="160"/>
      </w:pPr>
      <w:r>
        <w:rPr>
          <w:rFonts w:ascii="Arial" w:hAnsi="Arial" w:eastAsia="Arial"/>
          <w:color w:val="155A3E"/>
          <w:sz w:val="34"/>
        </w:rPr>
        <w:t>Cadre de décision V1.0</w:t>
      </w:r>
    </w:p>
    <w:p>
      <w:pPr>
        <w:spacing w:after="400"/>
      </w:pPr>
      <w:r>
        <w:rPr>
          <w:rFonts w:ascii="Arial" w:hAnsi="Arial" w:eastAsia="Arial"/>
          <w:color w:val="162019"/>
          <w:sz w:val="22"/>
        </w:rPr>
        <w:t>Déterminer avant d’activer : actif, rôles, activité, territoire, obligations et autorité.</w:t>
      </w:r>
    </w:p>
    <w:tbl>
      <w:tblPr>
        <w:tblStyle w:val="TableGrid"/>
        <w:tblW w:type="dxa" w:w="9500"/>
        <w:jc w:val="left"/>
        <w:tblLayout w:type="fixed"/>
        <w:tblLook w:firstColumn="1" w:firstRow="1" w:lastColumn="0" w:lastRow="0" w:noHBand="0" w:noVBand="1" w:val="04A0"/>
        <w:tblInd w:w="120" w:type="dxa"/>
      </w:tblPr>
      <w:tblGrid>
        <w:gridCol w:w="1300"/>
        <w:gridCol w:w="2100"/>
        <w:gridCol w:w="3600"/>
        <w:gridCol w:w="2500"/>
      </w:tblGrid>
      <w:tr>
        <w:trPr>
          <w:tblHeader w:val="true"/>
          <w:cantSplit/>
        </w:trPr>
        <w:tc>
          <w:tcPr>
            <w:tcW w:type="dxa" w:w="13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VERSION</w:t>
            </w:r>
          </w:p>
        </w:tc>
        <w:tc>
          <w:tcPr>
            <w:tcW w:type="dxa" w:w="21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DATE</w:t>
            </w:r>
          </w:p>
        </w:tc>
        <w:tc>
          <w:tcPr>
            <w:tcW w:type="dxa" w:w="36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STATUT</w:t>
            </w:r>
          </w:p>
        </w:tc>
        <w:tc>
          <w:tcPr>
            <w:tcW w:type="dxa" w:w="25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PROPRIÉTAIRE</w:t>
            </w:r>
          </w:p>
        </w:tc>
      </w:tr>
      <w:tr>
        <w:trPr>
          <w:cantSplit/>
        </w:trPr>
        <w:tc>
          <w:tcPr>
            <w:tcW w:type="dxa" w:w="13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7"/>
              </w:rPr>
              <w:t>1.0</w:t>
            </w:r>
          </w:p>
        </w:tc>
        <w:tc>
          <w:tcPr>
            <w:tcW w:type="dxa" w:w="21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7"/>
              </w:rPr>
              <w:t>8 septembre 2026</w:t>
            </w:r>
          </w:p>
        </w:tc>
        <w:tc>
          <w:tcPr>
            <w:tcW w:type="dxa" w:w="36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7"/>
              </w:rPr>
              <w:t>AVIS JURIDIQUE REQUIS</w:t>
            </w:r>
          </w:p>
        </w:tc>
        <w:tc>
          <w:tcPr>
            <w:tcW w:type="dxa" w:w="25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7"/>
              </w:rPr>
              <w:t>Pacturion</w:t>
            </w:r>
          </w:p>
        </w:tc>
      </w:tr>
    </w:tbl>
    <w:p>
      <w:pPr>
        <w:spacing w:after="40"/>
      </w:pPr>
    </w:p>
    <w:p>
      <w:pPr>
        <w:spacing w:before="100" w:after="180" w:line="283" w:lineRule="auto"/>
        <w:ind w:left="227" w:right="170"/>
        <w:shd w:fill="EDF3EF"/>
        <w:pBdr>
          <w:left w:val="single" w:sz="18" w:space="8" w:color="155A3E"/>
        </w:pBdr>
      </w:pPr>
      <w:r>
        <w:rPr>
          <w:rFonts w:ascii="Arial" w:hAnsi="Arial" w:eastAsia="Arial"/>
          <w:b/>
          <w:color w:val="155A3E"/>
          <w:sz w:val="16"/>
        </w:rPr>
        <w:t>DÉCISION ACTUELLE</w:t>
        <w:br/>
      </w:r>
      <w:r>
        <w:rPr>
          <w:rFonts w:ascii="Arial" w:hAnsi="Arial" w:eastAsia="Arial"/>
          <w:b w:val="0"/>
          <w:color w:val="162019"/>
          <w:sz w:val="20"/>
        </w:rPr>
        <w:t>ALPHA reste tokenless, interne et limité au local/testnet. Aucune offre au public, admission à la négociation, distribution économique de VERIDIA, prestation sur crypto-actifs, utilisation du mainnet ou de fonds réels n’est autorisée.</w:t>
      </w:r>
    </w:p>
    <w:p>
      <w:pPr>
        <w:spacing w:before="100" w:after="180" w:line="283" w:lineRule="auto"/>
        <w:ind w:left="227" w:right="170"/>
        <w:shd w:fill="F6F0E3"/>
        <w:pBdr>
          <w:left w:val="single" w:sz="18" w:space="8" w:color="C6A15B"/>
        </w:pBdr>
      </w:pPr>
      <w:r>
        <w:rPr>
          <w:rFonts w:ascii="Arial" w:hAnsi="Arial" w:eastAsia="Arial"/>
          <w:b/>
          <w:color w:val="C6A15B"/>
          <w:sz w:val="16"/>
        </w:rPr>
        <w:t>PORTÉE JURIDIQUE</w:t>
        <w:br/>
      </w:r>
      <w:r>
        <w:rPr>
          <w:rFonts w:ascii="Arial" w:hAnsi="Arial" w:eastAsia="Arial"/>
          <w:b w:val="0"/>
          <w:color w:val="162019"/>
          <w:sz w:val="20"/>
        </w:rPr>
        <w:t>Ce document organise la décision et les preuves. Il ne constitue ni un avis juridique, ni une notification MiCA, ni une autorisation, ni une déclaration de conformité. La qualification doit être validée par un conseil compétent en droit français et européen.</w:t>
      </w:r>
    </w:p>
    <w:p>
      <w:r>
        <w:br w:type="page"/>
      </w:r>
    </w:p>
    <w:p>
      <w:pPr>
        <w:keepNext/>
        <w:spacing w:before="440" w:after="100"/>
      </w:pPr>
      <w:r>
        <w:rPr>
          <w:rFonts w:ascii="Arial" w:hAnsi="Arial" w:eastAsia="Arial"/>
          <w:b/>
          <w:color w:val="C6A15B"/>
          <w:sz w:val="16"/>
        </w:rPr>
        <w:t>CHAPITRE 00</w:t>
      </w:r>
    </w:p>
    <w:p>
      <w:pPr>
        <w:pStyle w:val="Heading1"/>
        <w:pageBreakBefore w:val="0"/>
      </w:pPr>
      <w:r>
        <w:t>Contrôle du document</w:t>
      </w:r>
    </w:p>
    <w:tbl>
      <w:tblPr>
        <w:tblStyle w:val="TableGrid"/>
        <w:tblW w:type="dxa" w:w="9500"/>
        <w:jc w:val="left"/>
        <w:tblLayout w:type="fixed"/>
        <w:tblLook w:firstColumn="1" w:firstRow="1" w:lastColumn="0" w:lastRow="0" w:noHBand="0" w:noVBand="1" w:val="04A0"/>
        <w:tblInd w:w="120" w:type="dxa"/>
      </w:tblPr>
      <w:tblGrid>
        <w:gridCol w:w="2700"/>
        <w:gridCol w:w="6800"/>
      </w:tblGrid>
      <w:tr>
        <w:trPr>
          <w:tblHeader w:val="true"/>
          <w:cantSplit/>
        </w:trPr>
        <w:tc>
          <w:tcPr>
            <w:tcW w:type="dxa" w:w="27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Champ</w:t>
            </w:r>
          </w:p>
        </w:tc>
        <w:tc>
          <w:tcPr>
            <w:tcW w:type="dxa" w:w="68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Valeur</w:t>
            </w:r>
          </w:p>
        </w:tc>
      </w:tr>
      <w:tr>
        <w:trPr>
          <w:cantSplit/>
        </w:trPr>
        <w:tc>
          <w:tcPr>
            <w:tcW w:type="dxa" w:w="27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Entité / marque</w:t>
            </w:r>
          </w:p>
        </w:tc>
        <w:tc>
          <w:tcPr>
            <w:tcW w:type="dxa" w:w="68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Pacturion</w:t>
            </w:r>
          </w:p>
        </w:tc>
      </w:tr>
      <w:tr>
        <w:trPr>
          <w:cantSplit/>
        </w:trPr>
        <w:tc>
          <w:tcPr>
            <w:tcW w:type="dxa" w:w="27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Infrastructure</w:t>
            </w:r>
          </w:p>
        </w:tc>
        <w:tc>
          <w:tcPr>
            <w:tcW w:type="dxa" w:w="68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VERIDIA Protocol</w:t>
            </w:r>
          </w:p>
        </w:tc>
      </w:tr>
      <w:tr>
        <w:trPr>
          <w:cantSplit/>
        </w:trPr>
        <w:tc>
          <w:tcPr>
            <w:tcW w:type="dxa" w:w="27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Produit</w:t>
            </w:r>
          </w:p>
        </w:tc>
        <w:tc>
          <w:tcPr>
            <w:tcW w:type="dxa" w:w="68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ALPHA — hypothèse produit interne non validée par le marché</w:t>
            </w:r>
          </w:p>
        </w:tc>
      </w:tr>
      <w:tr>
        <w:trPr>
          <w:cantSplit/>
        </w:trPr>
        <w:tc>
          <w:tcPr>
            <w:tcW w:type="dxa" w:w="27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Environnement</w:t>
            </w:r>
          </w:p>
        </w:tc>
        <w:tc>
          <w:tcPr>
            <w:tcW w:type="dxa" w:w="68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Local et Base Sepolia, chain ID 84532, sous réserve de réconciliation des preuves</w:t>
            </w:r>
          </w:p>
        </w:tc>
      </w:tr>
      <w:tr>
        <w:trPr>
          <w:cantSplit/>
        </w:trPr>
        <w:tc>
          <w:tcPr>
            <w:tcW w:type="dxa" w:w="27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Maturité</w:t>
            </w:r>
          </w:p>
        </w:tc>
        <w:tc>
          <w:tcPr>
            <w:tcW w:type="dxa" w:w="68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Phase 3B PASS interne documenté ; Phase 3.E et Release Candidate PASS déclarés, preuves non annexées</w:t>
            </w:r>
          </w:p>
        </w:tc>
      </w:tr>
      <w:tr>
        <w:trPr>
          <w:cantSplit/>
        </w:trPr>
        <w:tc>
          <w:tcPr>
            <w:tcW w:type="dxa" w:w="27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Audit indépendant</w:t>
            </w:r>
          </w:p>
        </w:tc>
        <w:tc>
          <w:tcPr>
            <w:tcW w:type="dxa" w:w="68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Non réalisé</w:t>
            </w:r>
          </w:p>
        </w:tc>
      </w:tr>
      <w:tr>
        <w:trPr>
          <w:cantSplit/>
        </w:trPr>
        <w:tc>
          <w:tcPr>
            <w:tcW w:type="dxa" w:w="27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Mainnet / fonds réels</w:t>
            </w:r>
          </w:p>
        </w:tc>
        <w:tc>
          <w:tcPr>
            <w:tcW w:type="dxa" w:w="68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INTERDITS</w:t>
            </w:r>
          </w:p>
        </w:tc>
      </w:tr>
      <w:tr>
        <w:trPr>
          <w:cantSplit/>
        </w:trPr>
        <w:tc>
          <w:tcPr>
            <w:tcW w:type="dxa" w:w="27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Token</w:t>
            </w:r>
          </w:p>
        </w:tc>
        <w:tc>
          <w:tcPr>
            <w:tcW w:type="dxa" w:w="68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Dormant ; aucune fonction économique autorisée</w:t>
            </w:r>
          </w:p>
        </w:tc>
      </w:tr>
      <w:tr>
        <w:trPr>
          <w:cantSplit/>
        </w:trPr>
        <w:tc>
          <w:tcPr>
            <w:tcW w:type="dxa" w:w="27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Révision</w:t>
            </w:r>
          </w:p>
        </w:tc>
        <w:tc>
          <w:tcPr>
            <w:tcW w:type="dxa" w:w="68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Avant pilote externe, changement token, service, territoire, public, marketing ou modèle économique</w:t>
            </w:r>
          </w:p>
        </w:tc>
      </w:tr>
    </w:tbl>
    <w:p>
      <w:pPr>
        <w:spacing w:after="40"/>
      </w:pPr>
    </w:p>
    <w:p>
      <w:pPr>
        <w:pStyle w:val="Heading2"/>
      </w:pPr>
      <w:r>
        <w:t>Convention de décision</w:t>
      </w:r>
    </w:p>
    <w:tbl>
      <w:tblPr>
        <w:tblStyle w:val="TableGrid"/>
        <w:tblW w:type="dxa" w:w="9500"/>
        <w:jc w:val="left"/>
        <w:tblLayout w:type="fixed"/>
        <w:tblLook w:firstColumn="1" w:firstRow="1" w:lastColumn="0" w:lastRow="0" w:noHBand="0" w:noVBand="1" w:val="04A0"/>
        <w:tblInd w:w="120" w:type="dxa"/>
      </w:tblPr>
      <w:tblGrid>
        <w:gridCol w:w="2300"/>
        <w:gridCol w:w="7200"/>
      </w:tblGrid>
      <w:tr>
        <w:trPr>
          <w:tblHeader w:val="true"/>
          <w:cantSplit/>
        </w:trPr>
        <w:tc>
          <w:tcPr>
            <w:tcW w:type="dxa" w:w="23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Mention</w:t>
            </w:r>
          </w:p>
        </w:tc>
        <w:tc>
          <w:tcPr>
            <w:tcW w:type="dxa" w:w="72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Sens</w:t>
            </w:r>
          </w:p>
        </w:tc>
      </w:tr>
      <w:tr>
        <w:trPr>
          <w:cantSplit/>
        </w:trPr>
        <w:tc>
          <w:tcPr>
            <w:tcW w:type="dxa" w:w="23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AUTORISÉ</w:t>
            </w:r>
          </w:p>
        </w:tc>
        <w:tc>
          <w:tcPr>
            <w:tcW w:type="dxa" w:w="72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Action expressément couverte par le périmètre approuvé</w:t>
            </w:r>
          </w:p>
        </w:tc>
      </w:tr>
      <w:tr>
        <w:trPr>
          <w:cantSplit/>
        </w:trPr>
        <w:tc>
          <w:tcPr>
            <w:tcW w:type="dxa" w:w="23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SOUS CONDITIONS</w:t>
            </w:r>
          </w:p>
        </w:tc>
        <w:tc>
          <w:tcPr>
            <w:tcW w:type="dxa" w:w="72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Action possible seulement après satisfaction et preuve de toutes les conditions</w:t>
            </w:r>
          </w:p>
        </w:tc>
      </w:tr>
      <w:tr>
        <w:trPr>
          <w:cantSplit/>
        </w:trPr>
        <w:tc>
          <w:tcPr>
            <w:tcW w:type="dxa" w:w="23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AVIS REQUIS</w:t>
            </w:r>
          </w:p>
        </w:tc>
        <w:tc>
          <w:tcPr>
            <w:tcW w:type="dxa" w:w="72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Analyse écrite d’un conseil compétent avant décision</w:t>
            </w:r>
          </w:p>
        </w:tc>
      </w:tr>
      <w:tr>
        <w:trPr>
          <w:cantSplit/>
        </w:trPr>
        <w:tc>
          <w:tcPr>
            <w:tcW w:type="dxa" w:w="23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INTERDIT</w:t>
            </w:r>
          </w:p>
        </w:tc>
        <w:tc>
          <w:tcPr>
            <w:tcW w:type="dxa" w:w="72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Action hors périmètre actuel ; aucun contournement par présentation ou canal</w:t>
            </w:r>
          </w:p>
        </w:tc>
      </w:tr>
      <w:tr>
        <w:trPr>
          <w:cantSplit/>
        </w:trPr>
        <w:tc>
          <w:tcPr>
            <w:tcW w:type="dxa" w:w="23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À PROUVER</w:t>
            </w:r>
          </w:p>
        </w:tc>
        <w:tc>
          <w:tcPr>
            <w:tcW w:type="dxa" w:w="72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Affirmation non utilisable tant que l’artefact n’est pas conservé</w:t>
            </w:r>
          </w:p>
        </w:tc>
      </w:tr>
    </w:tbl>
    <w:p>
      <w:pPr>
        <w:spacing w:after="40"/>
      </w:pPr>
    </w:p>
    <w:p>
      <w:r>
        <w:br w:type="page"/>
      </w:r>
    </w:p>
    <w:p>
      <w:pPr>
        <w:pStyle w:val="Heading2"/>
      </w:pPr>
      <w:r>
        <w:t>Sommaire</w:t>
      </w:r>
    </w:p>
    <w:tbl>
      <w:tblPr>
        <w:tblStyle w:val="TableGrid"/>
        <w:tblW w:type="dxa" w:w="9500"/>
        <w:jc w:val="left"/>
        <w:tblLayout w:type="fixed"/>
        <w:tblLook w:firstColumn="1" w:firstRow="1" w:lastColumn="0" w:lastRow="0" w:noHBand="0" w:noVBand="1" w:val="04A0"/>
        <w:tblInd w:w="120" w:type="dxa"/>
      </w:tblPr>
      <w:tblGrid>
        <w:gridCol w:w="1200"/>
        <w:gridCol w:w="8300"/>
      </w:tblGrid>
      <w:tr>
        <w:trPr>
          <w:tblHeader w:val="true"/>
          <w:cantSplit/>
        </w:trPr>
        <w:tc>
          <w:tcPr>
            <w:tcW w:type="dxa" w:w="12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N°</w:t>
            </w:r>
          </w:p>
        </w:tc>
        <w:tc>
          <w:tcPr>
            <w:tcW w:type="dxa" w:w="83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Section</w:t>
            </w:r>
          </w:p>
        </w:tc>
      </w:tr>
      <w:tr>
        <w:trPr>
          <w:cantSplit/>
        </w:trPr>
        <w:tc>
          <w:tcPr>
            <w:tcW w:type="dxa" w:w="12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01</w:t>
            </w:r>
          </w:p>
        </w:tc>
        <w:tc>
          <w:tcPr>
            <w:tcW w:type="dxa" w:w="83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Décision exécutive et périmètre</w:t>
            </w:r>
          </w:p>
        </w:tc>
      </w:tr>
      <w:tr>
        <w:trPr>
          <w:cantSplit/>
        </w:trPr>
        <w:tc>
          <w:tcPr>
            <w:tcW w:type="dxa" w:w="12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02</w:t>
            </w:r>
          </w:p>
        </w:tc>
        <w:tc>
          <w:tcPr>
            <w:tcW w:type="dxa" w:w="83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Carte MiCA et dates utiles</w:t>
            </w:r>
          </w:p>
        </w:tc>
      </w:tr>
      <w:tr>
        <w:trPr>
          <w:cantSplit/>
        </w:trPr>
        <w:tc>
          <w:tcPr>
            <w:tcW w:type="dxa" w:w="12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03</w:t>
            </w:r>
          </w:p>
        </w:tc>
        <w:tc>
          <w:tcPr>
            <w:tcW w:type="dxa" w:w="83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Qualification de VERIDIA</w:t>
            </w:r>
          </w:p>
        </w:tc>
      </w:tr>
      <w:tr>
        <w:trPr>
          <w:cantSplit/>
        </w:trPr>
        <w:tc>
          <w:tcPr>
            <w:tcW w:type="dxa" w:w="12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04</w:t>
            </w:r>
          </w:p>
        </w:tc>
        <w:tc>
          <w:tcPr>
            <w:tcW w:type="dxa" w:w="83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Acteurs, activités et déclencheurs</w:t>
            </w:r>
          </w:p>
        </w:tc>
      </w:tr>
      <w:tr>
        <w:trPr>
          <w:cantSplit/>
        </w:trPr>
        <w:tc>
          <w:tcPr>
            <w:tcW w:type="dxa" w:w="12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05</w:t>
            </w:r>
          </w:p>
        </w:tc>
        <w:tc>
          <w:tcPr>
            <w:tcW w:type="dxa" w:w="83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Services sur crypto-actifs</w:t>
            </w:r>
          </w:p>
        </w:tc>
      </w:tr>
      <w:tr>
        <w:trPr>
          <w:cantSplit/>
        </w:trPr>
        <w:tc>
          <w:tcPr>
            <w:tcW w:type="dxa" w:w="12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06</w:t>
            </w:r>
          </w:p>
        </w:tc>
        <w:tc>
          <w:tcPr>
            <w:tcW w:type="dxa" w:w="83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Livre blanc et communications</w:t>
            </w:r>
          </w:p>
        </w:tc>
      </w:tr>
      <w:tr>
        <w:trPr>
          <w:cantSplit/>
        </w:trPr>
        <w:tc>
          <w:tcPr>
            <w:tcW w:type="dxa" w:w="12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07</w:t>
            </w:r>
          </w:p>
        </w:tc>
        <w:tc>
          <w:tcPr>
            <w:tcW w:type="dxa" w:w="83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Gouvernance et responsabilités</w:t>
            </w:r>
          </w:p>
        </w:tc>
      </w:tr>
      <w:tr>
        <w:trPr>
          <w:cantSplit/>
        </w:trPr>
        <w:tc>
          <w:tcPr>
            <w:tcW w:type="dxa" w:w="12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08</w:t>
            </w:r>
          </w:p>
        </w:tc>
        <w:tc>
          <w:tcPr>
            <w:tcW w:type="dxa" w:w="83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Régimes connexes</w:t>
            </w:r>
          </w:p>
        </w:tc>
      </w:tr>
      <w:tr>
        <w:trPr>
          <w:cantSplit/>
        </w:trPr>
        <w:tc>
          <w:tcPr>
            <w:tcW w:type="dxa" w:w="12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09</w:t>
            </w:r>
          </w:p>
        </w:tc>
        <w:tc>
          <w:tcPr>
            <w:tcW w:type="dxa" w:w="83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Intégrité, conflits et trésorerie</w:t>
            </w:r>
          </w:p>
        </w:tc>
      </w:tr>
      <w:tr>
        <w:trPr>
          <w:cantSplit/>
        </w:trPr>
        <w:tc>
          <w:tcPr>
            <w:tcW w:type="dxa" w:w="12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10</w:t>
            </w:r>
          </w:p>
        </w:tc>
        <w:tc>
          <w:tcPr>
            <w:tcW w:type="dxa" w:w="83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Cycle de conformité</w:t>
            </w:r>
          </w:p>
        </w:tc>
      </w:tr>
      <w:tr>
        <w:trPr>
          <w:cantSplit/>
        </w:trPr>
        <w:tc>
          <w:tcPr>
            <w:tcW w:type="dxa" w:w="12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11</w:t>
            </w:r>
          </w:p>
        </w:tc>
        <w:tc>
          <w:tcPr>
            <w:tcW w:type="dxa" w:w="83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Incidents, réclamations et coopération</w:t>
            </w:r>
          </w:p>
        </w:tc>
      </w:tr>
      <w:tr>
        <w:trPr>
          <w:cantSplit/>
        </w:trPr>
        <w:tc>
          <w:tcPr>
            <w:tcW w:type="dxa" w:w="12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12</w:t>
            </w:r>
          </w:p>
        </w:tc>
        <w:tc>
          <w:tcPr>
            <w:tcW w:type="dxa" w:w="83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Registres, gates et décision</w:t>
            </w:r>
          </w:p>
        </w:tc>
      </w:tr>
      <w:tr>
        <w:trPr>
          <w:cantSplit/>
        </w:trPr>
        <w:tc>
          <w:tcPr>
            <w:tcW w:type="dxa" w:w="12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13</w:t>
            </w:r>
          </w:p>
        </w:tc>
        <w:tc>
          <w:tcPr>
            <w:tcW w:type="dxa" w:w="83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Sources officielles</w:t>
            </w:r>
          </w:p>
        </w:tc>
      </w:tr>
    </w:tbl>
    <w:p>
      <w:pPr>
        <w:spacing w:after="40"/>
      </w:pPr>
    </w:p>
    <w:p>
      <w:r>
        <w:br w:type="page"/>
      </w:r>
    </w:p>
    <w:p>
      <w:pPr>
        <w:keepNext/>
        <w:spacing w:before="440" w:after="100"/>
      </w:pPr>
      <w:r>
        <w:rPr>
          <w:rFonts w:ascii="Arial" w:hAnsi="Arial" w:eastAsia="Arial"/>
          <w:b/>
          <w:color w:val="C6A15B"/>
          <w:sz w:val="16"/>
        </w:rPr>
        <w:t>CHAPITRE 01</w:t>
      </w:r>
    </w:p>
    <w:p>
      <w:pPr>
        <w:pStyle w:val="Heading1"/>
        <w:pageBreakBefore w:val="0"/>
      </w:pPr>
      <w:r>
        <w:t>Décision exécutive et périmètre</w:t>
      </w:r>
    </w:p>
    <w:p>
      <w:pPr>
        <w:keepNext/>
        <w:spacing w:after="320"/>
      </w:pPr>
      <w:r>
        <w:rPr>
          <w:rFonts w:ascii="Arial" w:hAnsi="Arial" w:eastAsia="Arial"/>
          <w:i/>
          <w:color w:val="66736B"/>
          <w:sz w:val="25"/>
        </w:rPr>
        <w:t>La technologie n’est pas abstraitement « réglementée » : ce sont l’actif, les rôles et les activités qui déterminent le régime.</w:t>
      </w:r>
    </w:p>
    <w:p>
      <w:pPr>
        <w:pStyle w:val="Heading2"/>
      </w:pPr>
      <w:r>
        <w:t>Position Pacturion au 8 septembre 2026</w:t>
      </w:r>
    </w:p>
    <w:tbl>
      <w:tblPr>
        <w:tblStyle w:val="TableGrid"/>
        <w:tblW w:type="dxa" w:w="9500"/>
        <w:jc w:val="left"/>
        <w:tblLayout w:type="fixed"/>
        <w:tblLook w:firstColumn="1" w:firstRow="1" w:lastColumn="0" w:lastRow="0" w:noHBand="0" w:noVBand="1" w:val="04A0"/>
        <w:tblInd w:w="120" w:type="dxa"/>
      </w:tblPr>
      <w:tblGrid>
        <w:gridCol w:w="1700"/>
        <w:gridCol w:w="3600"/>
        <w:gridCol w:w="4200"/>
      </w:tblGrid>
      <w:tr>
        <w:trPr>
          <w:tblHeader w:val="true"/>
          <w:cantSplit/>
        </w:trPr>
        <w:tc>
          <w:tcPr>
            <w:tcW w:type="dxa" w:w="17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Sujet</w:t>
            </w:r>
          </w:p>
        </w:tc>
        <w:tc>
          <w:tcPr>
            <w:tcW w:type="dxa" w:w="36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Décision</w:t>
            </w:r>
          </w:p>
        </w:tc>
        <w:tc>
          <w:tcPr>
            <w:tcW w:type="dxa" w:w="4200"/>
            <w:shd w:fill="0D3A28"/>
            <w:vAlign w:val="center"/>
            <w:tcMar>
              <w:top w:w="90" w:type="dxa"/>
              <w:start w:w="120" w:type="dxa"/>
              <w:bottom w:w="90" w:type="dxa"/>
              <w:end w:w="120" w:type="dxa"/>
            </w:tcMar>
          </w:tcPr>
          <w:p>
            <w:pPr>
              <w:spacing w:before="0" w:after="0" w:line="259" w:lineRule="auto"/>
              <w:jc w:val="left"/>
            </w:pPr>
            <w:r/>
            <w:r>
              <w:rPr>
                <w:rFonts w:ascii="Arial" w:hAnsi="Arial" w:eastAsia="Arial"/>
                <w:b/>
                <w:color w:val="FFFFFF"/>
                <w:sz w:val="17"/>
              </w:rPr>
              <w:t>Condition de changement</w:t>
            </w:r>
          </w:p>
        </w:tc>
      </w:tr>
      <w:tr>
        <w:trPr>
          <w:cantSplit/>
        </w:trPr>
        <w:tc>
          <w:tcPr>
            <w:tcW w:type="dxa" w:w="17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ALPHA</w:t>
            </w:r>
          </w:p>
        </w:tc>
        <w:tc>
          <w:tcPr>
            <w:tcW w:type="dxa" w:w="36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Tokenless par défaut ; recherche interne</w:t>
            </w:r>
          </w:p>
        </w:tc>
        <w:tc>
          <w:tcPr>
            <w:tcW w:type="dxa" w:w="42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Besoin natif démontré et décision formelle</w:t>
            </w:r>
          </w:p>
        </w:tc>
      </w:tr>
      <w:tr>
        <w:trPr>
          <w:cantSplit/>
        </w:trPr>
        <w:tc>
          <w:tcPr>
            <w:tcW w:type="dxa" w:w="17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VERIDIA</w:t>
            </w:r>
          </w:p>
        </w:tc>
        <w:tc>
          <w:tcPr>
            <w:tcW w:type="dxa" w:w="36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Hypothèse d’actif dormante</w:t>
            </w:r>
          </w:p>
        </w:tc>
        <w:tc>
          <w:tcPr>
            <w:tcW w:type="dxa" w:w="42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Score de nécessité ≥ 6/10, preuves convergentes et avis juridique écrit</w:t>
            </w:r>
          </w:p>
        </w:tc>
      </w:tr>
      <w:tr>
        <w:trPr>
          <w:cantSplit/>
        </w:trPr>
        <w:tc>
          <w:tcPr>
            <w:tcW w:type="dxa" w:w="17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Réseau</w:t>
            </w:r>
          </w:p>
        </w:tc>
        <w:tc>
          <w:tcPr>
            <w:tcW w:type="dxa" w:w="36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Local / testnet borné</w:t>
            </w:r>
          </w:p>
        </w:tc>
        <w:tc>
          <w:tcPr>
            <w:tcW w:type="dxa" w:w="42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Audit, sécurité, exploitation et décision de lancement</w:t>
            </w:r>
          </w:p>
        </w:tc>
      </w:tr>
      <w:tr>
        <w:trPr>
          <w:cantSplit/>
        </w:trPr>
        <w:tc>
          <w:tcPr>
            <w:tcW w:type="dxa" w:w="17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Public</w:t>
            </w:r>
          </w:p>
        </w:tc>
        <w:tc>
          <w:tcPr>
            <w:tcW w:type="dxa" w:w="36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Aucune offre ni sollicitation</w:t>
            </w:r>
          </w:p>
        </w:tc>
        <w:tc>
          <w:tcPr>
            <w:tcW w:type="dxa" w:w="42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Qualification, personne morale, responsabilités et obligations remplies</w:t>
            </w:r>
          </w:p>
        </w:tc>
      </w:tr>
      <w:tr>
        <w:trPr>
          <w:cantSplit/>
        </w:trPr>
        <w:tc>
          <w:tcPr>
            <w:tcW w:type="dxa" w:w="17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Services</w:t>
            </w:r>
          </w:p>
        </w:tc>
        <w:tc>
          <w:tcPr>
            <w:tcW w:type="dxa" w:w="36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Aucun service sur crypto-actifs</w:t>
            </w:r>
          </w:p>
        </w:tc>
        <w:tc>
          <w:tcPr>
            <w:tcW w:type="dxa" w:w="42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Autorisation si l’activité relève du statut de PSCA/CASP</w:t>
            </w:r>
          </w:p>
        </w:tc>
      </w:tr>
      <w:tr>
        <w:trPr>
          <w:cantSplit/>
        </w:trPr>
        <w:tc>
          <w:tcPr>
            <w:tcW w:type="dxa" w:w="17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Communication</w:t>
            </w:r>
          </w:p>
        </w:tc>
        <w:tc>
          <w:tcPr>
            <w:tcW w:type="dxa" w:w="36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Technique, prudente, vérifiable</w:t>
            </w:r>
          </w:p>
        </w:tc>
        <w:tc>
          <w:tcPr>
            <w:tcW w:type="dxa" w:w="42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Revue juridique et conformité avant publication économique</w:t>
            </w:r>
          </w:p>
        </w:tc>
      </w:tr>
    </w:tbl>
    <w:p>
      <w:pPr>
        <w:spacing w:after="40"/>
      </w:pPr>
    </w:p>
    <w:p>
      <w:pPr>
        <w:spacing w:before="100" w:after="180" w:line="283" w:lineRule="auto"/>
        <w:ind w:left="227" w:right="170"/>
        <w:shd w:fill="F6F0E3"/>
        <w:pBdr>
          <w:left w:val="single" w:sz="18" w:space="8" w:color="C6A15B"/>
        </w:pBdr>
      </w:pPr>
      <w:r>
        <w:rPr>
          <w:rFonts w:ascii="Arial" w:hAnsi="Arial" w:eastAsia="Arial"/>
          <w:b/>
          <w:color w:val="C6A15B"/>
          <w:sz w:val="16"/>
        </w:rPr>
        <w:t>FORMULATION INTERDITE</w:t>
        <w:br/>
      </w:r>
      <w:r>
        <w:rPr>
          <w:rFonts w:ascii="Arial" w:hAnsi="Arial" w:eastAsia="Arial"/>
          <w:b w:val="0"/>
          <w:color w:val="162019"/>
          <w:sz w:val="20"/>
        </w:rPr>
        <w:t>Pacturion ne doit pas être présenté comme « conforme MiCA », « approuvé », « régulé », « audité » ou « sûr » sans fondement exact, périmètre explicite et preuve correspondante.</w:t>
      </w:r>
    </w:p>
    <w:p>
      <w:pPr>
        <w:pStyle w:val="Heading2"/>
      </w:pPr>
      <w:r>
        <w:t>Principes non négociables</w:t>
      </w:r>
    </w:p>
    <w:p>
      <w:pPr>
        <w:numPr>
          <w:ilvl w:val="0"/>
          <w:numId w:val="16"/>
        </w:numPr>
        <w:spacing w:after="80" w:line="283" w:lineRule="auto"/>
      </w:pPr>
      <w:r>
        <w:rPr>
          <w:rFonts w:ascii="Arial" w:hAnsi="Arial" w:eastAsia="Arial"/>
          <w:color w:val="162019"/>
          <w:sz w:val="20"/>
        </w:rPr>
        <w:t>l’absence de rendement, de taxe de transfert, d’inflation ou de partage de revenus ne crée pas, à elle seule, d’exemption MiCA ;</w:t>
      </w:r>
    </w:p>
    <w:p>
      <w:pPr>
        <w:numPr>
          <w:ilvl w:val="0"/>
          <w:numId w:val="16"/>
        </w:numPr>
        <w:spacing w:after="80" w:line="283" w:lineRule="auto"/>
      </w:pPr>
      <w:r>
        <w:rPr>
          <w:rFonts w:ascii="Arial" w:hAnsi="Arial" w:eastAsia="Arial"/>
          <w:color w:val="162019"/>
          <w:sz w:val="20"/>
        </w:rPr>
        <w:t>un supply fixe d’un milliard d’unités ne détermine pas la qualification juridique ;</w:t>
      </w:r>
    </w:p>
    <w:p>
      <w:pPr>
        <w:numPr>
          <w:ilvl w:val="0"/>
          <w:numId w:val="16"/>
        </w:numPr>
        <w:spacing w:after="80" w:line="283" w:lineRule="auto"/>
      </w:pPr>
      <w:r>
        <w:rPr>
          <w:rFonts w:ascii="Arial" w:hAnsi="Arial" w:eastAsia="Arial"/>
          <w:color w:val="162019"/>
          <w:sz w:val="20"/>
        </w:rPr>
        <w:t>une distribution dite gratuite n’est pas présumée gratuite si des données personnelles ou un autre avantage sont obtenus en contrepartie ;</w:t>
      </w:r>
    </w:p>
    <w:p>
      <w:pPr>
        <w:numPr>
          <w:ilvl w:val="0"/>
          <w:numId w:val="16"/>
        </w:numPr>
        <w:spacing w:after="80" w:line="283" w:lineRule="auto"/>
      </w:pPr>
      <w:r>
        <w:rPr>
          <w:rFonts w:ascii="Arial" w:hAnsi="Arial" w:eastAsia="Arial"/>
          <w:color w:val="162019"/>
          <w:sz w:val="20"/>
        </w:rPr>
        <w:t>une exemption éventuelle doit être analysée par écrit et ne dispense pas automatiquement des autres droits applicables ;</w:t>
      </w:r>
    </w:p>
    <w:p>
      <w:pPr>
        <w:numPr>
          <w:ilvl w:val="0"/>
          <w:numId w:val="16"/>
        </w:numPr>
        <w:spacing w:after="80" w:line="283" w:lineRule="auto"/>
      </w:pPr>
      <w:r>
        <w:rPr>
          <w:rFonts w:ascii="Arial" w:hAnsi="Arial" w:eastAsia="Arial"/>
          <w:color w:val="162019"/>
          <w:sz w:val="20"/>
        </w:rPr>
        <w:t>aucune architecture produit ou formulation marketing ne doit être conçue pour contourner une obligation.</w:t>
      </w:r>
    </w:p>
    <w:p>
      <w:r>
        <w:br w:type="page"/>
      </w:r>
    </w:p>
    <w:p>
      <w:pPr>
        <w:keepNext/>
        <w:spacing w:before="440" w:after="100"/>
      </w:pPr>
      <w:r>
        <w:rPr>
          <w:rFonts w:ascii="Arial" w:hAnsi="Arial" w:eastAsia="Arial"/>
          <w:b/>
          <w:color w:val="C6A15B"/>
          <w:sz w:val="16"/>
        </w:rPr>
        <w:t>CHAPITRE 02</w:t>
      </w:r>
    </w:p>
    <w:p>
      <w:pPr>
        <w:pStyle w:val="Heading1"/>
        <w:pageBreakBefore w:val="0"/>
      </w:pPr>
      <w:r>
        <w:t>Carte MiCA et dates utiles</w:t>
      </w:r>
    </w:p>
    <w:tbl>
      <w:tblPr>
        <w:tblStyle w:val="TableGrid"/>
        <w:tblW w:type="dxa" w:w="9500"/>
        <w:jc w:val="left"/>
        <w:tblLayout w:type="fixed"/>
        <w:tblLook w:firstColumn="1" w:firstRow="1" w:lastColumn="0" w:lastRow="0" w:noHBand="0" w:noVBand="1" w:val="04A0"/>
        <w:tblInd w:w="120" w:type="dxa"/>
      </w:tblPr>
      <w:tblGrid>
        <w:gridCol w:w="1700"/>
        <w:gridCol w:w="3900"/>
        <w:gridCol w:w="3900"/>
      </w:tblGrid>
      <w:tr>
        <w:trPr>
          <w:tblHeader w:val="true"/>
          <w:cantSplit/>
        </w:trPr>
        <w:tc>
          <w:tcPr>
            <w:tcW w:type="dxa" w:w="17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Bloc</w:t>
            </w:r>
          </w:p>
        </w:tc>
        <w:tc>
          <w:tcPr>
            <w:tcW w:type="dxa" w:w="3900"/>
            <w:shd w:fill="0D3A28"/>
            <w:vAlign w:val="center"/>
            <w:tcMar>
              <w:top w:w="90" w:type="dxa"/>
              <w:start w:w="120" w:type="dxa"/>
              <w:bottom w:w="90" w:type="dxa"/>
              <w:end w:w="120" w:type="dxa"/>
            </w:tcMar>
          </w:tcPr>
          <w:p>
            <w:pPr>
              <w:spacing w:before="0" w:after="0" w:line="259" w:lineRule="auto"/>
              <w:jc w:val="left"/>
            </w:pPr>
            <w:r/>
            <w:r>
              <w:rPr>
                <w:rFonts w:ascii="Arial" w:hAnsi="Arial" w:eastAsia="Arial"/>
                <w:b/>
                <w:color w:val="FFFFFF"/>
                <w:sz w:val="17"/>
              </w:rPr>
              <w:t>Question principale</w:t>
            </w:r>
          </w:p>
        </w:tc>
        <w:tc>
          <w:tcPr>
            <w:tcW w:type="dxa" w:w="3900"/>
            <w:shd w:fill="0D3A28"/>
            <w:vAlign w:val="center"/>
            <w:tcMar>
              <w:top w:w="90" w:type="dxa"/>
              <w:start w:w="120" w:type="dxa"/>
              <w:bottom w:w="90" w:type="dxa"/>
              <w:end w:w="120" w:type="dxa"/>
            </w:tcMar>
          </w:tcPr>
          <w:p>
            <w:pPr>
              <w:spacing w:before="0" w:after="0" w:line="259" w:lineRule="auto"/>
              <w:jc w:val="left"/>
            </w:pPr>
            <w:r/>
            <w:r>
              <w:rPr>
                <w:rFonts w:ascii="Arial" w:hAnsi="Arial" w:eastAsia="Arial"/>
                <w:b/>
                <w:color w:val="FFFFFF"/>
                <w:sz w:val="17"/>
              </w:rPr>
              <w:t>Conséquence à instruire</w:t>
            </w:r>
          </w:p>
        </w:tc>
      </w:tr>
      <w:tr>
        <w:trPr>
          <w:cantSplit/>
        </w:trPr>
        <w:tc>
          <w:tcPr>
            <w:tcW w:type="dxa" w:w="17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Hors MiCA</w:t>
            </w:r>
          </w:p>
        </w:tc>
        <w:tc>
          <w:tcPr>
            <w:tcW w:type="dxa" w:w="39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L’actif relève-t-il déjà d’un autre droit, notamment instrument financier ou dépôt ?</w:t>
            </w:r>
          </w:p>
        </w:tc>
        <w:tc>
          <w:tcPr>
            <w:tcW w:type="dxa" w:w="39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Analyse prioritaire ; MiCA n’est pas le refuge par défaut</w:t>
            </w:r>
          </w:p>
        </w:tc>
      </w:tr>
      <w:tr>
        <w:trPr>
          <w:cantSplit/>
        </w:trPr>
        <w:tc>
          <w:tcPr>
            <w:tcW w:type="dxa" w:w="17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ART</w:t>
            </w:r>
          </w:p>
        </w:tc>
        <w:tc>
          <w:tcPr>
            <w:tcW w:type="dxa" w:w="39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La valeur prétend-elle rester stable par référence à plusieurs actifs ou droits ?</w:t>
            </w:r>
          </w:p>
        </w:tc>
        <w:tc>
          <w:tcPr>
            <w:tcW w:type="dxa" w:w="39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Régime spécifique des jetons se référant à des actifs</w:t>
            </w:r>
          </w:p>
        </w:tc>
      </w:tr>
      <w:tr>
        <w:trPr>
          <w:cantSplit/>
        </w:trPr>
        <w:tc>
          <w:tcPr>
            <w:tcW w:type="dxa" w:w="17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EMT</w:t>
            </w:r>
          </w:p>
        </w:tc>
        <w:tc>
          <w:tcPr>
            <w:tcW w:type="dxa" w:w="39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La valeur prétend-elle rester stable par référence à une monnaie officielle ?</w:t>
            </w:r>
          </w:p>
        </w:tc>
        <w:tc>
          <w:tcPr>
            <w:tcW w:type="dxa" w:w="39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Régime spécifique des jetons de monnaie électronique</w:t>
            </w:r>
          </w:p>
        </w:tc>
      </w:tr>
      <w:tr>
        <w:trPr>
          <w:cantSplit/>
        </w:trPr>
        <w:tc>
          <w:tcPr>
            <w:tcW w:type="dxa" w:w="17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Titre II</w:t>
            </w:r>
          </w:p>
        </w:tc>
        <w:tc>
          <w:tcPr>
            <w:tcW w:type="dxa" w:w="39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Autre crypto-actif offert au public ou admis à la négociation ?</w:t>
            </w:r>
          </w:p>
        </w:tc>
        <w:tc>
          <w:tcPr>
            <w:tcW w:type="dxa" w:w="39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Livre blanc, notification, publication, conduite et responsabilité</w:t>
            </w:r>
          </w:p>
        </w:tc>
      </w:tr>
      <w:tr>
        <w:trPr>
          <w:cantSplit/>
        </w:trPr>
        <w:tc>
          <w:tcPr>
            <w:tcW w:type="dxa" w:w="17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PSCA / CASP</w:t>
            </w:r>
          </w:p>
        </w:tc>
        <w:tc>
          <w:tcPr>
            <w:tcW w:type="dxa" w:w="39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Un service listé est-il fourni professionnellement à des clients ?</w:t>
            </w:r>
          </w:p>
        </w:tc>
        <w:tc>
          <w:tcPr>
            <w:tcW w:type="dxa" w:w="39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Autorisation et obligations organisationnelles / de conduite</w:t>
            </w:r>
          </w:p>
        </w:tc>
      </w:tr>
    </w:tbl>
    <w:p>
      <w:pPr>
        <w:spacing w:after="40"/>
      </w:pPr>
    </w:p>
    <w:p>
      <w:pPr>
        <w:pStyle w:val="Heading2"/>
      </w:pPr>
      <w:r>
        <w:t>Repères temporels</w:t>
      </w:r>
    </w:p>
    <w:tbl>
      <w:tblPr>
        <w:tblStyle w:val="TableGrid"/>
        <w:tblW w:type="dxa" w:w="9500"/>
        <w:jc w:val="left"/>
        <w:tblLayout w:type="fixed"/>
        <w:tblLook w:firstColumn="1" w:firstRow="1" w:lastColumn="0" w:lastRow="0" w:noHBand="0" w:noVBand="1" w:val="04A0"/>
        <w:tblInd w:w="120" w:type="dxa"/>
      </w:tblPr>
      <w:tblGrid>
        <w:gridCol w:w="2100"/>
        <w:gridCol w:w="4200"/>
        <w:gridCol w:w="3200"/>
      </w:tblGrid>
      <w:tr>
        <w:trPr>
          <w:tblHeader w:val="true"/>
          <w:cantSplit/>
        </w:trPr>
        <w:tc>
          <w:tcPr>
            <w:tcW w:type="dxa" w:w="21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Date</w:t>
            </w:r>
          </w:p>
        </w:tc>
        <w:tc>
          <w:tcPr>
            <w:tcW w:type="dxa" w:w="42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Repère</w:t>
            </w:r>
          </w:p>
        </w:tc>
        <w:tc>
          <w:tcPr>
            <w:tcW w:type="dxa" w:w="32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Lecture Pacturion</w:t>
            </w:r>
          </w:p>
        </w:tc>
      </w:tr>
      <w:tr>
        <w:trPr>
          <w:cantSplit/>
        </w:trPr>
        <w:tc>
          <w:tcPr>
            <w:tcW w:type="dxa" w:w="21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Juin 2023</w:t>
            </w:r>
          </w:p>
        </w:tc>
        <w:tc>
          <w:tcPr>
            <w:tcW w:type="dxa" w:w="42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Entrée en vigueur du règlement MiCA</w:t>
            </w:r>
          </w:p>
        </w:tc>
        <w:tc>
          <w:tcPr>
            <w:tcW w:type="dxa" w:w="32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Cadre européen applicable selon ses dates d’application</w:t>
            </w:r>
          </w:p>
        </w:tc>
      </w:tr>
      <w:tr>
        <w:trPr>
          <w:cantSplit/>
        </w:trPr>
        <w:tc>
          <w:tcPr>
            <w:tcW w:type="dxa" w:w="21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23 décembre 2025</w:t>
            </w:r>
          </w:p>
        </w:tc>
        <w:tc>
          <w:tcPr>
            <w:tcW w:type="dxa" w:w="42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Application des exigences de format iXBRL du livre blanc</w:t>
            </w:r>
          </w:p>
        </w:tc>
        <w:tc>
          <w:tcPr>
            <w:tcW w:type="dxa" w:w="32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À intégrer si un livre blanc MiCA devient requis</w:t>
            </w:r>
          </w:p>
        </w:tc>
      </w:tr>
      <w:tr>
        <w:trPr>
          <w:cantSplit/>
        </w:trPr>
        <w:tc>
          <w:tcPr>
            <w:tcW w:type="dxa" w:w="21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1er juillet 2026</w:t>
            </w:r>
          </w:p>
        </w:tc>
        <w:tc>
          <w:tcPr>
            <w:tcW w:type="dxa" w:w="42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Fin maximale de la transition française pour les PSAN concernés</w:t>
            </w:r>
          </w:p>
        </w:tc>
        <w:tc>
          <w:tcPr>
            <w:tcW w:type="dxa" w:w="32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Aucun recours à un grand-père réglementaire pour Pacturion</w:t>
            </w:r>
          </w:p>
        </w:tc>
      </w:tr>
      <w:tr>
        <w:trPr>
          <w:cantSplit/>
        </w:trPr>
        <w:tc>
          <w:tcPr>
            <w:tcW w:type="dxa" w:w="21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2 juillet 2026</w:t>
            </w:r>
          </w:p>
        </w:tc>
        <w:tc>
          <w:tcPr>
            <w:tcW w:type="dxa" w:w="42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Retrait automatique de la liste AMF des PSAN non agréés MiCA</w:t>
            </w:r>
          </w:p>
        </w:tc>
        <w:tc>
          <w:tcPr>
            <w:tcW w:type="dxa" w:w="32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En septembre 2026, la transition française est close</w:t>
            </w:r>
          </w:p>
        </w:tc>
      </w:tr>
    </w:tbl>
    <w:p>
      <w:pPr>
        <w:spacing w:after="40"/>
      </w:pPr>
    </w:p>
    <w:p>
      <w:pPr>
        <w:spacing w:before="100" w:after="180" w:line="283" w:lineRule="auto"/>
        <w:ind w:left="227" w:right="170"/>
        <w:shd w:fill="EDF3EF"/>
        <w:pBdr>
          <w:left w:val="single" w:sz="18" w:space="8" w:color="155A3E"/>
        </w:pBdr>
      </w:pPr>
      <w:r>
        <w:rPr>
          <w:rFonts w:ascii="Arial" w:hAnsi="Arial" w:eastAsia="Arial"/>
          <w:b/>
          <w:color w:val="155A3E"/>
          <w:sz w:val="16"/>
        </w:rPr>
        <w:t>CONSÉQUENCE</w:t>
        <w:br/>
      </w:r>
      <w:r>
        <w:rPr>
          <w:rFonts w:ascii="Arial" w:hAnsi="Arial" w:eastAsia="Arial"/>
          <w:b w:val="0"/>
          <w:color w:val="162019"/>
          <w:sz w:val="20"/>
        </w:rPr>
        <w:t>Si Pacturion fournit en France ou depuis la France une activité qualifiée de service sur crypto-actifs, il ne doit pas présumer qu’une ancienne inscription PSAN, une phase pilote ou un faible volume permet d’opérer sans autorisation.</w:t>
      </w:r>
    </w:p>
    <w:p>
      <w:r>
        <w:br w:type="page"/>
      </w:r>
    </w:p>
    <w:p>
      <w:pPr>
        <w:keepNext/>
        <w:spacing w:before="440" w:after="100"/>
      </w:pPr>
      <w:r>
        <w:rPr>
          <w:rFonts w:ascii="Arial" w:hAnsi="Arial" w:eastAsia="Arial"/>
          <w:b/>
          <w:color w:val="C6A15B"/>
          <w:sz w:val="16"/>
        </w:rPr>
        <w:t>CHAPITRE 03</w:t>
      </w:r>
    </w:p>
    <w:p>
      <w:pPr>
        <w:pStyle w:val="Heading1"/>
        <w:pageBreakBefore w:val="0"/>
      </w:pPr>
      <w:r>
        <w:t>Qualification de VERIDIA</w:t>
      </w:r>
    </w:p>
    <w:p>
      <w:pPr>
        <w:keepNext/>
        <w:spacing w:after="320"/>
      </w:pPr>
      <w:r>
        <w:rPr>
          <w:rFonts w:ascii="Arial" w:hAnsi="Arial" w:eastAsia="Arial"/>
          <w:i/>
          <w:color w:val="66736B"/>
          <w:sz w:val="25"/>
        </w:rPr>
        <w:t>Conclusion de travail, jamais qualification définitive.</w:t>
      </w:r>
    </w:p>
    <w:p>
      <w:pPr>
        <w:pStyle w:val="Heading2"/>
      </w:pPr>
      <w:r>
        <w:t>Caractéristiques techniques déclarées</w:t>
      </w:r>
    </w:p>
    <w:tbl>
      <w:tblPr>
        <w:tblStyle w:val="TableGrid"/>
        <w:tblW w:type="dxa" w:w="9500"/>
        <w:jc w:val="left"/>
        <w:tblLayout w:type="fixed"/>
        <w:tblLook w:firstColumn="1" w:firstRow="1" w:lastColumn="0" w:lastRow="0" w:noHBand="0" w:noVBand="1" w:val="04A0"/>
        <w:tblInd w:w="120" w:type="dxa"/>
      </w:tblPr>
      <w:tblGrid>
        <w:gridCol w:w="2100"/>
        <w:gridCol w:w="3300"/>
        <w:gridCol w:w="4100"/>
      </w:tblGrid>
      <w:tr>
        <w:trPr>
          <w:tblHeader w:val="true"/>
          <w:cantSplit/>
        </w:trPr>
        <w:tc>
          <w:tcPr>
            <w:tcW w:type="dxa" w:w="21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Caractéristique</w:t>
            </w:r>
          </w:p>
        </w:tc>
        <w:tc>
          <w:tcPr>
            <w:tcW w:type="dxa" w:w="33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État déclaré</w:t>
            </w:r>
          </w:p>
        </w:tc>
        <w:tc>
          <w:tcPr>
            <w:tcW w:type="dxa" w:w="41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Effet juridique</w:t>
            </w:r>
          </w:p>
        </w:tc>
      </w:tr>
      <w:tr>
        <w:trPr>
          <w:cantSplit/>
        </w:trPr>
        <w:tc>
          <w:tcPr>
            <w:tcW w:type="dxa" w:w="21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Supply</w:t>
            </w:r>
          </w:p>
        </w:tc>
        <w:tc>
          <w:tcPr>
            <w:tcW w:type="dxa" w:w="33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Fixe : 1 000 000 000</w:t>
            </w:r>
          </w:p>
        </w:tc>
        <w:tc>
          <w:tcPr>
            <w:tcW w:type="dxa" w:w="41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Non déterminant à lui seul</w:t>
            </w:r>
          </w:p>
        </w:tc>
      </w:tr>
      <w:tr>
        <w:trPr>
          <w:cantSplit/>
        </w:trPr>
        <w:tc>
          <w:tcPr>
            <w:tcW w:type="dxa" w:w="21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Mint / inflation</w:t>
            </w:r>
          </w:p>
        </w:tc>
        <w:tc>
          <w:tcPr>
            <w:tcW w:type="dxa" w:w="33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Absents après création selon la conception</w:t>
            </w:r>
          </w:p>
        </w:tc>
        <w:tc>
          <w:tcPr>
            <w:tcW w:type="dxa" w:w="41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N’emporte aucune exemption automatique</w:t>
            </w:r>
          </w:p>
        </w:tc>
      </w:tr>
      <w:tr>
        <w:trPr>
          <w:cantSplit/>
        </w:trPr>
        <w:tc>
          <w:tcPr>
            <w:tcW w:type="dxa" w:w="21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Rendement / revenus</w:t>
            </w:r>
          </w:p>
        </w:tc>
        <w:tc>
          <w:tcPr>
            <w:tcW w:type="dxa" w:w="33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Aucun promis</w:t>
            </w:r>
          </w:p>
        </w:tc>
        <w:tc>
          <w:tcPr>
            <w:tcW w:type="dxa" w:w="41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Réduit certains signaux, sans conclure</w:t>
            </w:r>
          </w:p>
        </w:tc>
      </w:tr>
      <w:tr>
        <w:trPr>
          <w:cantSplit/>
        </w:trPr>
        <w:tc>
          <w:tcPr>
            <w:tcW w:type="dxa" w:w="21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Taxe de transfert</w:t>
            </w:r>
          </w:p>
        </w:tc>
        <w:tc>
          <w:tcPr>
            <w:tcW w:type="dxa" w:w="33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Absente</w:t>
            </w:r>
          </w:p>
        </w:tc>
        <w:tc>
          <w:tcPr>
            <w:tcW w:type="dxa" w:w="41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Non déterminant</w:t>
            </w:r>
          </w:p>
        </w:tc>
      </w:tr>
      <w:tr>
        <w:trPr>
          <w:cantSplit/>
        </w:trPr>
        <w:tc>
          <w:tcPr>
            <w:tcW w:type="dxa" w:w="21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Stabilité</w:t>
            </w:r>
          </w:p>
        </w:tc>
        <w:tc>
          <w:tcPr>
            <w:tcW w:type="dxa" w:w="33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Aucune référence à une monnaie ou un panier d’actifs</w:t>
            </w:r>
          </w:p>
        </w:tc>
        <w:tc>
          <w:tcPr>
            <w:tcW w:type="dxa" w:w="41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ART/EMT ne paraît pas être l’intention actuelle</w:t>
            </w:r>
          </w:p>
        </w:tc>
      </w:tr>
      <w:tr>
        <w:trPr>
          <w:cantSplit/>
        </w:trPr>
        <w:tc>
          <w:tcPr>
            <w:tcW w:type="dxa" w:w="21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Fonction ALPHA</w:t>
            </w:r>
          </w:p>
        </w:tc>
        <w:tc>
          <w:tcPr>
            <w:tcW w:type="dxa" w:w="33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Aucune nécessité native démontrée</w:t>
            </w:r>
          </w:p>
        </w:tc>
        <w:tc>
          <w:tcPr>
            <w:tcW w:type="dxa" w:w="41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Justifie le maintien tokenless</w:t>
            </w:r>
          </w:p>
        </w:tc>
      </w:tr>
      <w:tr>
        <w:trPr>
          <w:cantSplit/>
        </w:trPr>
        <w:tc>
          <w:tcPr>
            <w:tcW w:type="dxa" w:w="21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Transférabilité</w:t>
            </w:r>
          </w:p>
        </w:tc>
        <w:tc>
          <w:tcPr>
            <w:tcW w:type="dxa" w:w="33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Aucune activation économique autorisée</w:t>
            </w:r>
          </w:p>
        </w:tc>
        <w:tc>
          <w:tcPr>
            <w:tcW w:type="dxa" w:w="41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Doit être réanalysée avant toute modification</w:t>
            </w:r>
          </w:p>
        </w:tc>
      </w:tr>
    </w:tbl>
    <w:p>
      <w:pPr>
        <w:spacing w:after="40"/>
      </w:pPr>
    </w:p>
    <w:p>
      <w:pPr>
        <w:pStyle w:val="Heading2"/>
      </w:pPr>
      <w:r>
        <w:t>Conclusion de travail</w:t>
      </w:r>
    </w:p>
    <w:p>
      <w:pPr>
        <w:spacing w:after="140" w:line="307" w:lineRule="auto"/>
      </w:pPr>
      <w:r>
        <w:rPr>
          <w:rFonts w:ascii="Arial" w:hAnsi="Arial" w:eastAsia="Arial"/>
          <w:i w:val="0"/>
          <w:color w:val="162019"/>
          <w:sz w:val="20"/>
        </w:rPr>
        <w:t>Si VERIDIA était activé conformément à la conception décrite, il pourrait relever de la catégorie des autres crypto-actifs du titre II plutôt que d’un ART ou d’un EMT. Cette hypothèse reste subordonnée à l’analyse préalable des exclusions, notamment la qualification éventuelle d’instrument financier, puis à un avis juridique écrit sur le produit réellement proposé, ses droits, sa commercialisation et ses acteurs.</w:t>
      </w:r>
    </w:p>
    <w:p>
      <w:pPr>
        <w:pStyle w:val="Heading2"/>
      </w:pPr>
      <w:r>
        <w:t>Questions obligatoires du mémo juridique</w:t>
      </w:r>
    </w:p>
    <w:tbl>
      <w:tblPr>
        <w:tblStyle w:val="TableGrid"/>
        <w:tblW w:type="dxa" w:w="9500"/>
        <w:jc w:val="left"/>
        <w:tblLayout w:type="fixed"/>
        <w:tblLook w:firstColumn="1" w:firstRow="1" w:lastColumn="0" w:lastRow="0" w:noHBand="0" w:noVBand="1" w:val="04A0"/>
        <w:tblInd w:w="120" w:type="dxa"/>
      </w:tblPr>
      <w:tblGrid>
        <w:gridCol w:w="4300"/>
        <w:gridCol w:w="5200"/>
      </w:tblGrid>
      <w:tr>
        <w:trPr>
          <w:tblHeader w:val="true"/>
          <w:cantSplit/>
        </w:trPr>
        <w:tc>
          <w:tcPr>
            <w:tcW w:type="dxa" w:w="43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Question</w:t>
            </w:r>
          </w:p>
        </w:tc>
        <w:tc>
          <w:tcPr>
            <w:tcW w:type="dxa" w:w="52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Preuve attendue</w:t>
            </w:r>
          </w:p>
        </w:tc>
      </w:tr>
      <w:tr>
        <w:trPr>
          <w:cantSplit/>
        </w:trPr>
        <w:tc>
          <w:tcPr>
            <w:tcW w:type="dxa" w:w="43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Quels droits exacts l’unité confère-t-elle ?</w:t>
            </w:r>
          </w:p>
        </w:tc>
        <w:tc>
          <w:tcPr>
            <w:tcW w:type="dxa" w:w="52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Spécification, code, conditions et parcours utilisateur concordants</w:t>
            </w:r>
          </w:p>
        </w:tc>
      </w:tr>
      <w:tr>
        <w:trPr>
          <w:cantSplit/>
        </w:trPr>
        <w:tc>
          <w:tcPr>
            <w:tcW w:type="dxa" w:w="43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Quelle promesse économique est faite ou comprise ?</w:t>
            </w:r>
          </w:p>
        </w:tc>
        <w:tc>
          <w:tcPr>
            <w:tcW w:type="dxa" w:w="52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Site, posts, pitch, FAQ, conversations commerciales et token terms</w:t>
            </w:r>
          </w:p>
        </w:tc>
      </w:tr>
      <w:tr>
        <w:trPr>
          <w:cantSplit/>
        </w:trPr>
        <w:tc>
          <w:tcPr>
            <w:tcW w:type="dxa" w:w="43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Qui émet, offre ou sollicite l’admission ?</w:t>
            </w:r>
          </w:p>
        </w:tc>
        <w:tc>
          <w:tcPr>
            <w:tcW w:type="dxa" w:w="52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Personne morale, contrats, gouvernance et responsabilités</w:t>
            </w:r>
          </w:p>
        </w:tc>
      </w:tr>
      <w:tr>
        <w:trPr>
          <w:cantSplit/>
        </w:trPr>
        <w:tc>
          <w:tcPr>
            <w:tcW w:type="dxa" w:w="43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L’actif relève-t-il d’un droit financier existant ?</w:t>
            </w:r>
          </w:p>
        </w:tc>
        <w:tc>
          <w:tcPr>
            <w:tcW w:type="dxa" w:w="52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Analyse juridique motivée et juridictions couvertes</w:t>
            </w:r>
          </w:p>
        </w:tc>
      </w:tr>
      <w:tr>
        <w:trPr>
          <w:cantSplit/>
        </w:trPr>
        <w:tc>
          <w:tcPr>
            <w:tcW w:type="dxa" w:w="43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Une exemption est-elle invoquée ?</w:t>
            </w:r>
          </w:p>
        </w:tc>
        <w:tc>
          <w:tcPr>
            <w:tcW w:type="dxa" w:w="52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Fondement, conditions, durée, limites et contrôle de non-contournement</w:t>
            </w:r>
          </w:p>
        </w:tc>
      </w:tr>
    </w:tbl>
    <w:p>
      <w:pPr>
        <w:spacing w:after="40"/>
      </w:pPr>
    </w:p>
    <w:p>
      <w:r>
        <w:br w:type="page"/>
      </w:r>
    </w:p>
    <w:p>
      <w:pPr>
        <w:keepNext/>
        <w:spacing w:before="440" w:after="100"/>
      </w:pPr>
      <w:r>
        <w:rPr>
          <w:rFonts w:ascii="Arial" w:hAnsi="Arial" w:eastAsia="Arial"/>
          <w:b/>
          <w:color w:val="C6A15B"/>
          <w:sz w:val="16"/>
        </w:rPr>
        <w:t>CHAPITRE 04</w:t>
      </w:r>
    </w:p>
    <w:p>
      <w:pPr>
        <w:pStyle w:val="Heading1"/>
        <w:pageBreakBefore w:val="0"/>
      </w:pPr>
      <w:r>
        <w:t>Acteurs, activités et déclencheurs</w:t>
      </w:r>
    </w:p>
    <w:p>
      <w:pPr>
        <w:pStyle w:val="Heading2"/>
      </w:pPr>
      <w:r>
        <w:t>Arbre de qualification</w:t>
      </w:r>
    </w:p>
    <w:tbl>
      <w:tblPr>
        <w:tblStyle w:val="TableGrid"/>
        <w:tblW w:type="dxa" w:w="9500"/>
        <w:jc w:val="left"/>
        <w:tblLayout w:type="fixed"/>
        <w:tblLook w:firstColumn="1" w:firstRow="1" w:lastColumn="0" w:lastRow="0" w:noHBand="0" w:noVBand="1" w:val="04A0"/>
        <w:tblInd w:w="120" w:type="dxa"/>
      </w:tblPr>
      <w:tblGrid>
        <w:gridCol w:w="1400"/>
        <w:gridCol w:w="5100"/>
        <w:gridCol w:w="3000"/>
      </w:tblGrid>
      <w:tr>
        <w:trPr>
          <w:tblHeader w:val="true"/>
          <w:cantSplit/>
        </w:trPr>
        <w:tc>
          <w:tcPr>
            <w:tcW w:type="dxa" w:w="14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Étape</w:t>
            </w:r>
          </w:p>
        </w:tc>
        <w:tc>
          <w:tcPr>
            <w:tcW w:type="dxa" w:w="5100"/>
            <w:shd w:fill="0D3A28"/>
            <w:vAlign w:val="center"/>
            <w:tcMar>
              <w:top w:w="90" w:type="dxa"/>
              <w:start w:w="120" w:type="dxa"/>
              <w:bottom w:w="90" w:type="dxa"/>
              <w:end w:w="120" w:type="dxa"/>
            </w:tcMar>
          </w:tcPr>
          <w:p>
            <w:pPr>
              <w:spacing w:before="0" w:after="0" w:line="259" w:lineRule="auto"/>
              <w:jc w:val="left"/>
            </w:pPr>
            <w:r/>
            <w:r>
              <w:rPr>
                <w:rFonts w:ascii="Arial" w:hAnsi="Arial" w:eastAsia="Arial"/>
                <w:b/>
                <w:color w:val="FFFFFF"/>
                <w:sz w:val="17"/>
              </w:rPr>
              <w:t>Question de contrôle</w:t>
            </w:r>
          </w:p>
        </w:tc>
        <w:tc>
          <w:tcPr>
            <w:tcW w:type="dxa" w:w="30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Sortie</w:t>
            </w:r>
          </w:p>
        </w:tc>
      </w:tr>
      <w:tr>
        <w:trPr>
          <w:cantSplit/>
        </w:trPr>
        <w:tc>
          <w:tcPr>
            <w:tcW w:type="dxa" w:w="14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1 — Actif</w:t>
            </w:r>
          </w:p>
        </w:tc>
        <w:tc>
          <w:tcPr>
            <w:tcW w:type="dxa" w:w="51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Hors champ, instrument financier, ART, EMT ou autre crypto-actif ?</w:t>
            </w:r>
          </w:p>
        </w:tc>
        <w:tc>
          <w:tcPr>
            <w:tcW w:type="dxa" w:w="30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Qualification documentée</w:t>
            </w:r>
          </w:p>
        </w:tc>
      </w:tr>
      <w:tr>
        <w:trPr>
          <w:cantSplit/>
        </w:trPr>
        <w:tc>
          <w:tcPr>
            <w:tcW w:type="dxa" w:w="14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2 — Acteur</w:t>
            </w:r>
          </w:p>
        </w:tc>
        <w:tc>
          <w:tcPr>
            <w:tcW w:type="dxa" w:w="51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Émetteur, offreur, demandeur d’admission, plateforme, prestataire ou simple développeur ?</w:t>
            </w:r>
          </w:p>
        </w:tc>
        <w:tc>
          <w:tcPr>
            <w:tcW w:type="dxa" w:w="30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Responsabilité attribuée</w:t>
            </w:r>
          </w:p>
        </w:tc>
      </w:tr>
      <w:tr>
        <w:trPr>
          <w:cantSplit/>
        </w:trPr>
        <w:tc>
          <w:tcPr>
            <w:tcW w:type="dxa" w:w="14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3 — Action</w:t>
            </w:r>
          </w:p>
        </w:tc>
        <w:tc>
          <w:tcPr>
            <w:tcW w:type="dxa" w:w="51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Test, mint, offre, admission, placement, conservation, échange, exécution, conseil ou transfert ?</w:t>
            </w:r>
          </w:p>
        </w:tc>
        <w:tc>
          <w:tcPr>
            <w:tcW w:type="dxa" w:w="30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Déclencheur identifié</w:t>
            </w:r>
          </w:p>
        </w:tc>
      </w:tr>
      <w:tr>
        <w:trPr>
          <w:cantSplit/>
        </w:trPr>
        <w:tc>
          <w:tcPr>
            <w:tcW w:type="dxa" w:w="14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4 — Territoire</w:t>
            </w:r>
          </w:p>
        </w:tc>
        <w:tc>
          <w:tcPr>
            <w:tcW w:type="dxa" w:w="51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France/UE, clientèle visée, accès, langue et sollicitation ?</w:t>
            </w:r>
          </w:p>
        </w:tc>
        <w:tc>
          <w:tcPr>
            <w:tcW w:type="dxa" w:w="30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Droits applicables</w:t>
            </w:r>
          </w:p>
        </w:tc>
      </w:tr>
      <w:tr>
        <w:trPr>
          <w:cantSplit/>
        </w:trPr>
        <w:tc>
          <w:tcPr>
            <w:tcW w:type="dxa" w:w="14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5 — Exception</w:t>
            </w:r>
          </w:p>
        </w:tc>
        <w:tc>
          <w:tcPr>
            <w:tcW w:type="dxa" w:w="51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Exclusion ou exemption complète et durable ?</w:t>
            </w:r>
          </w:p>
        </w:tc>
        <w:tc>
          <w:tcPr>
            <w:tcW w:type="dxa" w:w="30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Avis écrit ; conditions surveillées</w:t>
            </w:r>
          </w:p>
        </w:tc>
      </w:tr>
      <w:tr>
        <w:trPr>
          <w:cantSplit/>
        </w:trPr>
        <w:tc>
          <w:tcPr>
            <w:tcW w:type="dxa" w:w="14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6 — Obligations</w:t>
            </w:r>
          </w:p>
        </w:tc>
        <w:tc>
          <w:tcPr>
            <w:tcW w:type="dxa" w:w="51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Livre blanc, notification, autorisation, conduite, AML/CFT, DORA ou autres ?</w:t>
            </w:r>
          </w:p>
        </w:tc>
        <w:tc>
          <w:tcPr>
            <w:tcW w:type="dxa" w:w="30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Plan de conformité</w:t>
            </w:r>
          </w:p>
        </w:tc>
      </w:tr>
      <w:tr>
        <w:trPr>
          <w:cantSplit/>
        </w:trPr>
        <w:tc>
          <w:tcPr>
            <w:tcW w:type="dxa" w:w="14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7 — Décision</w:t>
            </w:r>
          </w:p>
        </w:tc>
        <w:tc>
          <w:tcPr>
            <w:tcW w:type="dxa" w:w="51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Toutes les preuves et approbations existent-elles ?</w:t>
            </w:r>
          </w:p>
        </w:tc>
        <w:tc>
          <w:tcPr>
            <w:tcW w:type="dxa" w:w="30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GO, GO conditionnel ou NO-GO</w:t>
            </w:r>
          </w:p>
        </w:tc>
      </w:tr>
    </w:tbl>
    <w:p>
      <w:pPr>
        <w:spacing w:after="40"/>
      </w:pPr>
    </w:p>
    <w:p>
      <w:pPr>
        <w:pStyle w:val="Heading2"/>
      </w:pPr>
      <w:r>
        <w:t>Situations à arrêter et escalader</w:t>
      </w:r>
    </w:p>
    <w:p>
      <w:pPr>
        <w:numPr>
          <w:ilvl w:val="0"/>
          <w:numId w:val="17"/>
        </w:numPr>
        <w:spacing w:after="80" w:line="283" w:lineRule="auto"/>
      </w:pPr>
      <w:r>
        <w:rPr>
          <w:rFonts w:ascii="Arial" w:hAnsi="Arial" w:eastAsia="Arial"/>
          <w:color w:val="162019"/>
          <w:sz w:val="20"/>
        </w:rPr>
        <w:t>mise à disposition d’un jeton à un public, même limité ou via liste d’attente ;</w:t>
      </w:r>
    </w:p>
    <w:p>
      <w:pPr>
        <w:numPr>
          <w:ilvl w:val="0"/>
          <w:numId w:val="17"/>
        </w:numPr>
        <w:spacing w:after="80" w:line="283" w:lineRule="auto"/>
      </w:pPr>
      <w:r>
        <w:rPr>
          <w:rFonts w:ascii="Arial" w:hAnsi="Arial" w:eastAsia="Arial"/>
          <w:color w:val="162019"/>
          <w:sz w:val="20"/>
        </w:rPr>
        <w:t>annonce de cotation, de liquidité, de prix, d’airdrop ou de vente future ;</w:t>
      </w:r>
    </w:p>
    <w:p>
      <w:pPr>
        <w:numPr>
          <w:ilvl w:val="0"/>
          <w:numId w:val="17"/>
        </w:numPr>
        <w:spacing w:after="80" w:line="283" w:lineRule="auto"/>
      </w:pPr>
      <w:r>
        <w:rPr>
          <w:rFonts w:ascii="Arial" w:hAnsi="Arial" w:eastAsia="Arial"/>
          <w:color w:val="162019"/>
          <w:sz w:val="20"/>
        </w:rPr>
        <w:t>accord avec une plateforme, un apporteur, un teneur de marché ou un dépositaire ;</w:t>
      </w:r>
    </w:p>
    <w:p>
      <w:pPr>
        <w:numPr>
          <w:ilvl w:val="0"/>
          <w:numId w:val="17"/>
        </w:numPr>
        <w:spacing w:after="80" w:line="283" w:lineRule="auto"/>
      </w:pPr>
      <w:r>
        <w:rPr>
          <w:rFonts w:ascii="Arial" w:hAnsi="Arial" w:eastAsia="Arial"/>
          <w:color w:val="162019"/>
          <w:sz w:val="20"/>
        </w:rPr>
        <w:t>collecte d’argent, de crypto-actifs, de données ou d’un autre avantage lié à VERIDIA ;</w:t>
      </w:r>
    </w:p>
    <w:p>
      <w:pPr>
        <w:numPr>
          <w:ilvl w:val="0"/>
          <w:numId w:val="17"/>
        </w:numPr>
        <w:spacing w:after="80" w:line="283" w:lineRule="auto"/>
      </w:pPr>
      <w:r>
        <w:rPr>
          <w:rFonts w:ascii="Arial" w:hAnsi="Arial" w:eastAsia="Arial"/>
          <w:color w:val="162019"/>
          <w:sz w:val="20"/>
        </w:rPr>
        <w:t>accès depuis l’UE combiné à une communication ciblée ou à une relation commerciale ;</w:t>
      </w:r>
    </w:p>
    <w:p>
      <w:pPr>
        <w:numPr>
          <w:ilvl w:val="0"/>
          <w:numId w:val="17"/>
        </w:numPr>
        <w:spacing w:after="80" w:line="283" w:lineRule="auto"/>
      </w:pPr>
      <w:r>
        <w:rPr>
          <w:rFonts w:ascii="Arial" w:hAnsi="Arial" w:eastAsia="Arial"/>
          <w:color w:val="162019"/>
          <w:sz w:val="20"/>
        </w:rPr>
        <w:t>changement de droits, gouvernance, transférabilité, trésorerie ou modèle économique.</w:t>
      </w:r>
    </w:p>
    <w:p>
      <w:r>
        <w:br w:type="page"/>
      </w:r>
    </w:p>
    <w:p>
      <w:pPr>
        <w:keepNext/>
        <w:spacing w:before="440" w:after="100"/>
      </w:pPr>
      <w:r>
        <w:rPr>
          <w:rFonts w:ascii="Arial" w:hAnsi="Arial" w:eastAsia="Arial"/>
          <w:b/>
          <w:color w:val="C6A15B"/>
          <w:sz w:val="16"/>
        </w:rPr>
        <w:t>CHAPITRE 05</w:t>
      </w:r>
    </w:p>
    <w:p>
      <w:pPr>
        <w:pStyle w:val="Heading1"/>
        <w:pageBreakBefore w:val="0"/>
      </w:pPr>
      <w:r>
        <w:t>Services sur crypto-actifs</w:t>
      </w:r>
    </w:p>
    <w:p>
      <w:pPr>
        <w:spacing w:after="140" w:line="307" w:lineRule="auto"/>
      </w:pPr>
      <w:r>
        <w:rPr>
          <w:rFonts w:ascii="Arial" w:hAnsi="Arial" w:eastAsia="Arial"/>
          <w:i w:val="0"/>
          <w:color w:val="162019"/>
          <w:sz w:val="20"/>
        </w:rPr>
        <w:t>La qualification dépend de la réalité du service, pas de son nom dans l’interface. Une fonctionnalité automatisée, gratuite, expérimentale ou sous-traitée peut néanmoins appeler une analyse.</w:t>
      </w:r>
    </w:p>
    <w:tbl>
      <w:tblPr>
        <w:tblStyle w:val="TableGrid"/>
        <w:tblW w:type="dxa" w:w="9500"/>
        <w:jc w:val="left"/>
        <w:tblLayout w:type="fixed"/>
        <w:tblLook w:firstColumn="1" w:firstRow="1" w:lastColumn="0" w:lastRow="0" w:noHBand="0" w:noVBand="1" w:val="04A0"/>
        <w:tblInd w:w="120" w:type="dxa"/>
      </w:tblPr>
      <w:tblGrid>
        <w:gridCol w:w="3000"/>
        <w:gridCol w:w="4100"/>
        <w:gridCol w:w="2400"/>
      </w:tblGrid>
      <w:tr>
        <w:trPr>
          <w:tblHeader w:val="true"/>
          <w:cantSplit/>
        </w:trPr>
        <w:tc>
          <w:tcPr>
            <w:tcW w:type="dxa" w:w="3000"/>
            <w:shd w:fill="0D3A28"/>
            <w:vAlign w:val="center"/>
            <w:tcMar>
              <w:top w:w="90" w:type="dxa"/>
              <w:start w:w="120" w:type="dxa"/>
              <w:bottom w:w="90" w:type="dxa"/>
              <w:end w:w="120" w:type="dxa"/>
            </w:tcMar>
          </w:tcPr>
          <w:p>
            <w:pPr>
              <w:spacing w:before="0" w:after="0" w:line="259" w:lineRule="auto"/>
              <w:jc w:val="left"/>
            </w:pPr>
            <w:r/>
            <w:r>
              <w:rPr>
                <w:rFonts w:ascii="Arial" w:hAnsi="Arial" w:eastAsia="Arial"/>
                <w:b/>
                <w:color w:val="FFFFFF"/>
                <w:sz w:val="17"/>
              </w:rPr>
              <w:t>Famille d’activité à tester</w:t>
            </w:r>
          </w:p>
        </w:tc>
        <w:tc>
          <w:tcPr>
            <w:tcW w:type="dxa" w:w="41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Exemple de signal</w:t>
            </w:r>
          </w:p>
        </w:tc>
        <w:tc>
          <w:tcPr>
            <w:tcW w:type="dxa" w:w="24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Décision actuelle</w:t>
            </w:r>
          </w:p>
        </w:tc>
      </w:tr>
      <w:tr>
        <w:trPr>
          <w:cantSplit/>
        </w:trPr>
        <w:tc>
          <w:tcPr>
            <w:tcW w:type="dxa" w:w="30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Conservation / administration</w:t>
            </w:r>
          </w:p>
        </w:tc>
        <w:tc>
          <w:tcPr>
            <w:tcW w:type="dxa" w:w="41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Contrôle de clés ou capacité d’agir pour un client</w:t>
            </w:r>
          </w:p>
        </w:tc>
        <w:tc>
          <w:tcPr>
            <w:tcW w:type="dxa" w:w="24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INTERDIT</w:t>
            </w:r>
          </w:p>
        </w:tc>
      </w:tr>
      <w:tr>
        <w:trPr>
          <w:cantSplit/>
        </w:trPr>
        <w:tc>
          <w:tcPr>
            <w:tcW w:type="dxa" w:w="30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Plateforme de négociation</w:t>
            </w:r>
          </w:p>
        </w:tc>
        <w:tc>
          <w:tcPr>
            <w:tcW w:type="dxa" w:w="41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Rapprochement multilatéral d’intérêts</w:t>
            </w:r>
          </w:p>
        </w:tc>
        <w:tc>
          <w:tcPr>
            <w:tcW w:type="dxa" w:w="24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INTERDIT</w:t>
            </w:r>
          </w:p>
        </w:tc>
      </w:tr>
      <w:tr>
        <w:trPr>
          <w:cantSplit/>
        </w:trPr>
        <w:tc>
          <w:tcPr>
            <w:tcW w:type="dxa" w:w="30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Échange crypto/monnaie ou crypto/crypto</w:t>
            </w:r>
          </w:p>
        </w:tc>
        <w:tc>
          <w:tcPr>
            <w:tcW w:type="dxa" w:w="41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Conversion proposée à un client</w:t>
            </w:r>
          </w:p>
        </w:tc>
        <w:tc>
          <w:tcPr>
            <w:tcW w:type="dxa" w:w="24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INTERDIT</w:t>
            </w:r>
          </w:p>
        </w:tc>
      </w:tr>
      <w:tr>
        <w:trPr>
          <w:cantSplit/>
        </w:trPr>
        <w:tc>
          <w:tcPr>
            <w:tcW w:type="dxa" w:w="30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Exécution / réception-transmission</w:t>
            </w:r>
          </w:p>
        </w:tc>
        <w:tc>
          <w:tcPr>
            <w:tcW w:type="dxa" w:w="41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Ordre client exécuté ou transmis</w:t>
            </w:r>
          </w:p>
        </w:tc>
        <w:tc>
          <w:tcPr>
            <w:tcW w:type="dxa" w:w="24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INTERDIT</w:t>
            </w:r>
          </w:p>
        </w:tc>
      </w:tr>
      <w:tr>
        <w:trPr>
          <w:cantSplit/>
        </w:trPr>
        <w:tc>
          <w:tcPr>
            <w:tcW w:type="dxa" w:w="30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Placement</w:t>
            </w:r>
          </w:p>
        </w:tc>
        <w:tc>
          <w:tcPr>
            <w:tcW w:type="dxa" w:w="41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Distribution pour le compte d’un offreur</w:t>
            </w:r>
          </w:p>
        </w:tc>
        <w:tc>
          <w:tcPr>
            <w:tcW w:type="dxa" w:w="24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INTERDIT</w:t>
            </w:r>
          </w:p>
        </w:tc>
      </w:tr>
      <w:tr>
        <w:trPr>
          <w:cantSplit/>
        </w:trPr>
        <w:tc>
          <w:tcPr>
            <w:tcW w:type="dxa" w:w="30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Conseil / gestion</w:t>
            </w:r>
          </w:p>
        </w:tc>
        <w:tc>
          <w:tcPr>
            <w:tcW w:type="dxa" w:w="41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Recommandation personnalisée ou mandat</w:t>
            </w:r>
          </w:p>
        </w:tc>
        <w:tc>
          <w:tcPr>
            <w:tcW w:type="dxa" w:w="24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INTERDIT</w:t>
            </w:r>
          </w:p>
        </w:tc>
      </w:tr>
      <w:tr>
        <w:trPr>
          <w:cantSplit/>
        </w:trPr>
        <w:tc>
          <w:tcPr>
            <w:tcW w:type="dxa" w:w="30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Transfert</w:t>
            </w:r>
          </w:p>
        </w:tc>
        <w:tc>
          <w:tcPr>
            <w:tcW w:type="dxa" w:w="41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Mouvement exécuté pour le compte d’un client</w:t>
            </w:r>
          </w:p>
        </w:tc>
        <w:tc>
          <w:tcPr>
            <w:tcW w:type="dxa" w:w="24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INTERDIT</w:t>
            </w:r>
          </w:p>
        </w:tc>
      </w:tr>
    </w:tbl>
    <w:p>
      <w:pPr>
        <w:spacing w:after="40"/>
      </w:pPr>
    </w:p>
    <w:p>
      <w:pPr>
        <w:pStyle w:val="Heading2"/>
      </w:pPr>
      <w:r>
        <w:t>Gate PSCA / CASP</w:t>
      </w:r>
    </w:p>
    <w:tbl>
      <w:tblPr>
        <w:tblStyle w:val="TableGrid"/>
        <w:tblW w:type="dxa" w:w="9500"/>
        <w:jc w:val="left"/>
        <w:tblLayout w:type="fixed"/>
        <w:tblLook w:firstColumn="1" w:firstRow="1" w:lastColumn="0" w:lastRow="0" w:noHBand="0" w:noVBand="1" w:val="04A0"/>
        <w:tblInd w:w="120" w:type="dxa"/>
      </w:tblPr>
      <w:tblGrid>
        <w:gridCol w:w="2700"/>
        <w:gridCol w:w="6800"/>
      </w:tblGrid>
      <w:tr>
        <w:trPr>
          <w:tblHeader w:val="true"/>
          <w:cantSplit/>
        </w:trPr>
        <w:tc>
          <w:tcPr>
            <w:tcW w:type="dxa" w:w="27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Contrôle</w:t>
            </w:r>
          </w:p>
        </w:tc>
        <w:tc>
          <w:tcPr>
            <w:tcW w:type="dxa" w:w="68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Exigence minimale</w:t>
            </w:r>
          </w:p>
        </w:tc>
      </w:tr>
      <w:tr>
        <w:trPr>
          <w:cantSplit/>
        </w:trPr>
        <w:tc>
          <w:tcPr>
            <w:tcW w:type="dxa" w:w="27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Cartographie</w:t>
            </w:r>
          </w:p>
        </w:tc>
        <w:tc>
          <w:tcPr>
            <w:tcW w:type="dxa" w:w="68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Fonction, client, flux, contrôle des clés, rémunération et sous-traitants</w:t>
            </w:r>
          </w:p>
        </w:tc>
      </w:tr>
      <w:tr>
        <w:trPr>
          <w:cantSplit/>
        </w:trPr>
        <w:tc>
          <w:tcPr>
            <w:tcW w:type="dxa" w:w="27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Qualification</w:t>
            </w:r>
          </w:p>
        </w:tc>
        <w:tc>
          <w:tcPr>
            <w:tcW w:type="dxa" w:w="68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Avis juridique écrit, y compris territorialité et caractère professionnel</w:t>
            </w:r>
          </w:p>
        </w:tc>
      </w:tr>
      <w:tr>
        <w:trPr>
          <w:cantSplit/>
        </w:trPr>
        <w:tc>
          <w:tcPr>
            <w:tcW w:type="dxa" w:w="27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Autorité</w:t>
            </w:r>
          </w:p>
        </w:tc>
        <w:tc>
          <w:tcPr>
            <w:tcW w:type="dxa" w:w="68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Autorisation compétente obtenue avant service si requise</w:t>
            </w:r>
          </w:p>
        </w:tc>
      </w:tr>
      <w:tr>
        <w:trPr>
          <w:cantSplit/>
        </w:trPr>
        <w:tc>
          <w:tcPr>
            <w:tcW w:type="dxa" w:w="27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Organisation</w:t>
            </w:r>
          </w:p>
        </w:tc>
        <w:tc>
          <w:tcPr>
            <w:tcW w:type="dxa" w:w="68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Gouvernance, capital, assurance si applicable, contrôles, conflits et continuité</w:t>
            </w:r>
          </w:p>
        </w:tc>
      </w:tr>
      <w:tr>
        <w:trPr>
          <w:cantSplit/>
        </w:trPr>
        <w:tc>
          <w:tcPr>
            <w:tcW w:type="dxa" w:w="27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Conduite</w:t>
            </w:r>
          </w:p>
        </w:tc>
        <w:tc>
          <w:tcPr>
            <w:tcW w:type="dxa" w:w="68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Information loyale, traitement des ordres, réclamations et protection des actifs</w:t>
            </w:r>
          </w:p>
        </w:tc>
      </w:tr>
      <w:tr>
        <w:trPr>
          <w:cantSplit/>
        </w:trPr>
        <w:tc>
          <w:tcPr>
            <w:tcW w:type="dxa" w:w="27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Externalisation</w:t>
            </w:r>
          </w:p>
        </w:tc>
        <w:tc>
          <w:tcPr>
            <w:tcW w:type="dxa" w:w="68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Responsabilités, auditabilité, réversibilité et surveillance documentées</w:t>
            </w:r>
          </w:p>
        </w:tc>
      </w:tr>
    </w:tbl>
    <w:p>
      <w:pPr>
        <w:spacing w:after="40"/>
      </w:pPr>
    </w:p>
    <w:p>
      <w:pPr>
        <w:spacing w:before="100" w:after="180" w:line="283" w:lineRule="auto"/>
        <w:ind w:left="227" w:right="170"/>
        <w:shd w:fill="F6F0E3"/>
        <w:pBdr>
          <w:left w:val="single" w:sz="18" w:space="8" w:color="C6A15B"/>
        </w:pBdr>
      </w:pPr>
      <w:r>
        <w:rPr>
          <w:rFonts w:ascii="Arial" w:hAnsi="Arial" w:eastAsia="Arial"/>
          <w:b/>
          <w:color w:val="C6A15B"/>
          <w:sz w:val="16"/>
        </w:rPr>
        <w:t>RÈGLE</w:t>
        <w:br/>
      </w:r>
      <w:r>
        <w:rPr>
          <w:rFonts w:ascii="Arial" w:hAnsi="Arial" w:eastAsia="Arial"/>
          <w:b w:val="0"/>
          <w:color w:val="162019"/>
          <w:sz w:val="20"/>
        </w:rPr>
        <w:t>Aucun test avec un véritable client et aucun fonds réel ne doivent servir à découvrir après coup si Pacturion fournissait un service réglementé.</w:t>
      </w:r>
    </w:p>
    <w:p>
      <w:r>
        <w:br w:type="page"/>
      </w:r>
    </w:p>
    <w:p>
      <w:pPr>
        <w:keepNext/>
        <w:spacing w:before="440" w:after="100"/>
      </w:pPr>
      <w:r>
        <w:rPr>
          <w:rFonts w:ascii="Arial" w:hAnsi="Arial" w:eastAsia="Arial"/>
          <w:b/>
          <w:color w:val="C6A15B"/>
          <w:sz w:val="16"/>
        </w:rPr>
        <w:t>CHAPITRE 06</w:t>
      </w:r>
    </w:p>
    <w:p>
      <w:pPr>
        <w:pStyle w:val="Heading1"/>
        <w:pageBreakBefore w:val="0"/>
      </w:pPr>
      <w:r>
        <w:t>Livre blanc et communications</w:t>
      </w:r>
    </w:p>
    <w:p>
      <w:pPr>
        <w:pStyle w:val="Heading2"/>
      </w:pPr>
      <w:r>
        <w:t>Statut du document existant</w:t>
      </w:r>
    </w:p>
    <w:p>
      <w:pPr>
        <w:spacing w:before="100" w:after="180" w:line="283" w:lineRule="auto"/>
        <w:ind w:left="227" w:right="170"/>
        <w:shd w:fill="EDF3EF"/>
        <w:pBdr>
          <w:left w:val="single" w:sz="18" w:space="8" w:color="155A3E"/>
        </w:pBdr>
      </w:pPr>
      <w:r>
        <w:rPr>
          <w:rFonts w:ascii="Arial" w:hAnsi="Arial" w:eastAsia="Arial"/>
          <w:b/>
          <w:color w:val="155A3E"/>
          <w:sz w:val="16"/>
        </w:rPr>
        <w:t>DISTINCTION OBLIGATOIRE</w:t>
        <w:br/>
      </w:r>
      <w:r>
        <w:rPr>
          <w:rFonts w:ascii="Arial" w:hAnsi="Arial" w:eastAsia="Arial"/>
          <w:b w:val="0"/>
          <w:color w:val="162019"/>
          <w:sz w:val="20"/>
        </w:rPr>
        <w:t>Pacturion_White_Paper_V1.0 est un document corporate et technique. Il n’est pas un livre blanc MiCA, n’a pas été notifié selon MiCA et ne doit pas être présenté comme tel.</w:t>
      </w:r>
    </w:p>
    <w:tbl>
      <w:tblPr>
        <w:tblStyle w:val="TableGrid"/>
        <w:tblW w:type="dxa" w:w="9500"/>
        <w:jc w:val="left"/>
        <w:tblLayout w:type="fixed"/>
        <w:tblLook w:firstColumn="1" w:firstRow="1" w:lastColumn="0" w:lastRow="0" w:noHBand="0" w:noVBand="1" w:val="04A0"/>
        <w:tblInd w:w="120" w:type="dxa"/>
      </w:tblPr>
      <w:tblGrid>
        <w:gridCol w:w="3100"/>
        <w:gridCol w:w="6400"/>
      </w:tblGrid>
      <w:tr>
        <w:trPr>
          <w:tblHeader w:val="true"/>
          <w:cantSplit/>
        </w:trPr>
        <w:tc>
          <w:tcPr>
            <w:tcW w:type="dxa" w:w="3100"/>
            <w:shd w:fill="0D3A28"/>
            <w:vAlign w:val="center"/>
            <w:tcMar>
              <w:top w:w="90" w:type="dxa"/>
              <w:start w:w="120" w:type="dxa"/>
              <w:bottom w:w="90" w:type="dxa"/>
              <w:end w:w="120" w:type="dxa"/>
            </w:tcMar>
          </w:tcPr>
          <w:p>
            <w:pPr>
              <w:spacing w:before="0" w:after="0" w:line="259" w:lineRule="auto"/>
              <w:jc w:val="left"/>
            </w:pPr>
            <w:r/>
            <w:r>
              <w:rPr>
                <w:rFonts w:ascii="Arial" w:hAnsi="Arial" w:eastAsia="Arial"/>
                <w:b/>
                <w:color w:val="FFFFFF"/>
                <w:sz w:val="17"/>
              </w:rPr>
              <w:t>Déclencheur potentiel</w:t>
            </w:r>
          </w:p>
        </w:tc>
        <w:tc>
          <w:tcPr>
            <w:tcW w:type="dxa" w:w="6400"/>
            <w:shd w:fill="0D3A28"/>
            <w:vAlign w:val="center"/>
            <w:tcMar>
              <w:top w:w="90" w:type="dxa"/>
              <w:start w:w="120" w:type="dxa"/>
              <w:bottom w:w="90" w:type="dxa"/>
              <w:end w:w="120" w:type="dxa"/>
            </w:tcMar>
          </w:tcPr>
          <w:p>
            <w:pPr>
              <w:spacing w:before="0" w:after="0" w:line="259" w:lineRule="auto"/>
              <w:jc w:val="left"/>
            </w:pPr>
            <w:r/>
            <w:r>
              <w:rPr>
                <w:rFonts w:ascii="Arial" w:hAnsi="Arial" w:eastAsia="Arial"/>
                <w:b/>
                <w:color w:val="FFFFFF"/>
                <w:sz w:val="17"/>
              </w:rPr>
              <w:t>Travail requis avant action</w:t>
            </w:r>
          </w:p>
        </w:tc>
      </w:tr>
      <w:tr>
        <w:trPr>
          <w:cantSplit/>
        </w:trPr>
        <w:tc>
          <w:tcPr>
            <w:tcW w:type="dxa" w:w="31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Offre au public d’un autre crypto-actif</w:t>
            </w:r>
          </w:p>
        </w:tc>
        <w:tc>
          <w:tcPr>
            <w:tcW w:type="dxa" w:w="64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Personne morale, analyse des exceptions, livre blanc conforme, notification et publication selon le régime applicable</w:t>
            </w:r>
          </w:p>
        </w:tc>
      </w:tr>
      <w:tr>
        <w:trPr>
          <w:cantSplit/>
        </w:trPr>
        <w:tc>
          <w:tcPr>
            <w:tcW w:type="dxa" w:w="31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Admission à la négociation</w:t>
            </w:r>
          </w:p>
        </w:tc>
        <w:tc>
          <w:tcPr>
            <w:tcW w:type="dxa" w:w="64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Responsable identifié, livre blanc et obligations applicables à l’admission</w:t>
            </w:r>
          </w:p>
        </w:tc>
      </w:tr>
      <w:tr>
        <w:trPr>
          <w:cantSplit/>
        </w:trPr>
        <w:tc>
          <w:tcPr>
            <w:tcW w:type="dxa" w:w="31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Modification importante</w:t>
            </w:r>
          </w:p>
        </w:tc>
        <w:tc>
          <w:tcPr>
            <w:tcW w:type="dxa" w:w="64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Réévaluation, mise à jour, version, approbation et publication contrôlée</w:t>
            </w:r>
          </w:p>
        </w:tc>
      </w:tr>
      <w:tr>
        <w:trPr>
          <w:cantSplit/>
        </w:trPr>
        <w:tc>
          <w:tcPr>
            <w:tcW w:type="dxa" w:w="31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Marketing</w:t>
            </w:r>
          </w:p>
        </w:tc>
        <w:tc>
          <w:tcPr>
            <w:tcW w:type="dxa" w:w="64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Concordance exacte avec le livre blanc et caractère loyal, clair et non trompeur</w:t>
            </w:r>
          </w:p>
        </w:tc>
      </w:tr>
      <w:tr>
        <w:trPr>
          <w:cantSplit/>
        </w:trPr>
        <w:tc>
          <w:tcPr>
            <w:tcW w:type="dxa" w:w="31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Format</w:t>
            </w:r>
          </w:p>
        </w:tc>
        <w:tc>
          <w:tcPr>
            <w:tcW w:type="dxa" w:w="64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Production selon les standards réglementaires applicables, dont iXBRL lorsqu’exigé</w:t>
            </w:r>
          </w:p>
        </w:tc>
      </w:tr>
    </w:tbl>
    <w:p>
      <w:pPr>
        <w:spacing w:after="40"/>
      </w:pPr>
    </w:p>
    <w:p>
      <w:pPr>
        <w:pStyle w:val="Heading2"/>
      </w:pPr>
      <w:r>
        <w:t>Contrôle des allégations</w:t>
      </w:r>
    </w:p>
    <w:tbl>
      <w:tblPr>
        <w:tblStyle w:val="TableGrid"/>
        <w:tblW w:type="dxa" w:w="9500"/>
        <w:jc w:val="left"/>
        <w:tblLayout w:type="fixed"/>
        <w:tblLook w:firstColumn="1" w:firstRow="1" w:lastColumn="0" w:lastRow="0" w:noHBand="0" w:noVBand="1" w:val="04A0"/>
        <w:tblInd w:w="120" w:type="dxa"/>
      </w:tblPr>
      <w:tblGrid>
        <w:gridCol w:w="4000"/>
        <w:gridCol w:w="5500"/>
      </w:tblGrid>
      <w:tr>
        <w:trPr>
          <w:tblHeader w:val="true"/>
          <w:cantSplit/>
        </w:trPr>
        <w:tc>
          <w:tcPr>
            <w:tcW w:type="dxa" w:w="40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Ne pas affirmer</w:t>
            </w:r>
          </w:p>
        </w:tc>
        <w:tc>
          <w:tcPr>
            <w:tcW w:type="dxa" w:w="5500"/>
            <w:shd w:fill="0D3A28"/>
            <w:vAlign w:val="center"/>
            <w:tcMar>
              <w:top w:w="90" w:type="dxa"/>
              <w:start w:w="120" w:type="dxa"/>
              <w:bottom w:w="90" w:type="dxa"/>
              <w:end w:w="120" w:type="dxa"/>
            </w:tcMar>
          </w:tcPr>
          <w:p>
            <w:pPr>
              <w:spacing w:before="0" w:after="0" w:line="259" w:lineRule="auto"/>
              <w:jc w:val="left"/>
            </w:pPr>
            <w:r/>
            <w:r>
              <w:rPr>
                <w:rFonts w:ascii="Arial" w:hAnsi="Arial" w:eastAsia="Arial"/>
                <w:b/>
                <w:color w:val="FFFFFF"/>
                <w:sz w:val="17"/>
              </w:rPr>
              <w:t>Formulation factuelle possible</w:t>
            </w:r>
          </w:p>
        </w:tc>
      </w:tr>
      <w:tr>
        <w:trPr>
          <w:cantSplit/>
        </w:trPr>
        <w:tc>
          <w:tcPr>
            <w:tcW w:type="dxa" w:w="40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 Approuvé par l’AMF / l’ESMA »</w:t>
            </w:r>
          </w:p>
        </w:tc>
        <w:tc>
          <w:tcPr>
            <w:tcW w:type="dxa" w:w="55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 Document interne ; aucune approbation réglementaire déclarée »</w:t>
            </w:r>
          </w:p>
        </w:tc>
      </w:tr>
      <w:tr>
        <w:trPr>
          <w:cantSplit/>
        </w:trPr>
        <w:tc>
          <w:tcPr>
            <w:tcW w:type="dxa" w:w="40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 Conforme MiCA »</w:t>
            </w:r>
          </w:p>
        </w:tc>
        <w:tc>
          <w:tcPr>
            <w:tcW w:type="dxa" w:w="55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 Périmètre en cours de qualification ; avis juridique requis »</w:t>
            </w:r>
          </w:p>
        </w:tc>
      </w:tr>
      <w:tr>
        <w:trPr>
          <w:cantSplit/>
        </w:trPr>
        <w:tc>
          <w:tcPr>
            <w:tcW w:type="dxa" w:w="40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 Audité »</w:t>
            </w:r>
          </w:p>
        </w:tc>
        <w:tc>
          <w:tcPr>
            <w:tcW w:type="dxa" w:w="55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 Audit indépendant non réalisé »</w:t>
            </w:r>
          </w:p>
        </w:tc>
      </w:tr>
      <w:tr>
        <w:trPr>
          <w:cantSplit/>
        </w:trPr>
        <w:tc>
          <w:tcPr>
            <w:tcW w:type="dxa" w:w="40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 Investissement sûr / rendement »</w:t>
            </w:r>
          </w:p>
        </w:tc>
        <w:tc>
          <w:tcPr>
            <w:tcW w:type="dxa" w:w="55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Décrire uniquement les fonctions et risques vérifiables</w:t>
            </w:r>
          </w:p>
        </w:tc>
      </w:tr>
      <w:tr>
        <w:trPr>
          <w:cantSplit/>
        </w:trPr>
        <w:tc>
          <w:tcPr>
            <w:tcW w:type="dxa" w:w="40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 Cotation garantie / potentiel de prix »</w:t>
            </w:r>
          </w:p>
        </w:tc>
        <w:tc>
          <w:tcPr>
            <w:tcW w:type="dxa" w:w="55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Ne faire aucune promesse de cotation, liquidité ou valeur</w:t>
            </w:r>
          </w:p>
        </w:tc>
      </w:tr>
    </w:tbl>
    <w:p>
      <w:pPr>
        <w:spacing w:after="40"/>
      </w:pPr>
    </w:p>
    <w:p>
      <w:pPr>
        <w:spacing w:after="140" w:line="307" w:lineRule="auto"/>
      </w:pPr>
      <w:r>
        <w:rPr>
          <w:rFonts w:ascii="Arial" w:hAnsi="Arial" w:eastAsia="Arial"/>
          <w:i w:val="0"/>
          <w:color w:val="162019"/>
          <w:sz w:val="20"/>
        </w:rPr>
        <w:t>Les informations d’un livre blanc peuvent engager la responsabilité lorsqu’elles sont incomplètes, déloyales, imprécises ou trompeuses. L’inscription d’un livre blanc dans le registre ESMA ne signifie pas qu’une autorité l’a revu ou approuvé.</w:t>
      </w:r>
    </w:p>
    <w:p>
      <w:r>
        <w:br w:type="page"/>
      </w:r>
    </w:p>
    <w:p>
      <w:pPr>
        <w:keepNext/>
        <w:spacing w:before="440" w:after="100"/>
      </w:pPr>
      <w:r>
        <w:rPr>
          <w:rFonts w:ascii="Arial" w:hAnsi="Arial" w:eastAsia="Arial"/>
          <w:b/>
          <w:color w:val="C6A15B"/>
          <w:sz w:val="16"/>
        </w:rPr>
        <w:t>CHAPITRE 07</w:t>
      </w:r>
    </w:p>
    <w:p>
      <w:pPr>
        <w:pStyle w:val="Heading1"/>
        <w:pageBreakBefore w:val="0"/>
      </w:pPr>
      <w:r>
        <w:t>Gouvernance et responsabilités</w:t>
      </w:r>
    </w:p>
    <w:tbl>
      <w:tblPr>
        <w:tblStyle w:val="TableGrid"/>
        <w:tblW w:type="dxa" w:w="9500"/>
        <w:jc w:val="left"/>
        <w:tblLayout w:type="fixed"/>
        <w:tblLook w:firstColumn="1" w:firstRow="1" w:lastColumn="0" w:lastRow="0" w:noHBand="0" w:noVBand="1" w:val="04A0"/>
        <w:tblInd w:w="120" w:type="dxa"/>
      </w:tblPr>
      <w:tblGrid>
        <w:gridCol w:w="2200"/>
        <w:gridCol w:w="5000"/>
        <w:gridCol w:w="2300"/>
      </w:tblGrid>
      <w:tr>
        <w:trPr>
          <w:tblHeader w:val="true"/>
          <w:cantSplit/>
        </w:trPr>
        <w:tc>
          <w:tcPr>
            <w:tcW w:type="dxa" w:w="22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Rôle</w:t>
            </w:r>
          </w:p>
        </w:tc>
        <w:tc>
          <w:tcPr>
            <w:tcW w:type="dxa" w:w="50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Responsabilité</w:t>
            </w:r>
          </w:p>
        </w:tc>
        <w:tc>
          <w:tcPr>
            <w:tcW w:type="dxa" w:w="23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État V1.0</w:t>
            </w:r>
          </w:p>
        </w:tc>
      </w:tr>
      <w:tr>
        <w:trPr>
          <w:cantSplit/>
        </w:trPr>
        <w:tc>
          <w:tcPr>
            <w:tcW w:type="dxa" w:w="22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Direction / organe de décision</w:t>
            </w:r>
          </w:p>
        </w:tc>
        <w:tc>
          <w:tcPr>
            <w:tcW w:type="dxa" w:w="50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Appétence au risque, lancement, ressources et arrêt</w:t>
            </w:r>
          </w:p>
        </w:tc>
        <w:tc>
          <w:tcPr>
            <w:tcW w:type="dxa" w:w="23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À FORMALISER</w:t>
            </w:r>
          </w:p>
        </w:tc>
      </w:tr>
      <w:tr>
        <w:trPr>
          <w:cantSplit/>
        </w:trPr>
        <w:tc>
          <w:tcPr>
            <w:tcW w:type="dxa" w:w="22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Responsable MiCA</w:t>
            </w:r>
          </w:p>
        </w:tc>
        <w:tc>
          <w:tcPr>
            <w:tcW w:type="dxa" w:w="50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Périmètre, décisions, veille, gates et dossier autorité</w:t>
            </w:r>
          </w:p>
        </w:tc>
        <w:tc>
          <w:tcPr>
            <w:tcW w:type="dxa" w:w="23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À NOMMER</w:t>
            </w:r>
          </w:p>
        </w:tc>
      </w:tr>
      <w:tr>
        <w:trPr>
          <w:cantSplit/>
        </w:trPr>
        <w:tc>
          <w:tcPr>
            <w:tcW w:type="dxa" w:w="22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Product owner</w:t>
            </w:r>
          </w:p>
        </w:tc>
        <w:tc>
          <w:tcPr>
            <w:tcW w:type="dxa" w:w="50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Fonctions, public, droits et cohérence du parcours</w:t>
            </w:r>
          </w:p>
        </w:tc>
        <w:tc>
          <w:tcPr>
            <w:tcW w:type="dxa" w:w="23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À NOMMER</w:t>
            </w:r>
          </w:p>
        </w:tc>
      </w:tr>
      <w:tr>
        <w:trPr>
          <w:cantSplit/>
        </w:trPr>
        <w:tc>
          <w:tcPr>
            <w:tcW w:type="dxa" w:w="22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Conseil juridique</w:t>
            </w:r>
          </w:p>
        </w:tc>
        <w:tc>
          <w:tcPr>
            <w:tcW w:type="dxa" w:w="50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Qualification indépendante et avis écrit</w:t>
            </w:r>
          </w:p>
        </w:tc>
        <w:tc>
          <w:tcPr>
            <w:tcW w:type="dxa" w:w="23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À MANDATER</w:t>
            </w:r>
          </w:p>
        </w:tc>
      </w:tr>
      <w:tr>
        <w:trPr>
          <w:cantSplit/>
        </w:trPr>
        <w:tc>
          <w:tcPr>
            <w:tcW w:type="dxa" w:w="22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Conformité / AML</w:t>
            </w:r>
          </w:p>
        </w:tc>
        <w:tc>
          <w:tcPr>
            <w:tcW w:type="dxa" w:w="50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Risques, procédures, contrôles, sanctions et réclamations</w:t>
            </w:r>
          </w:p>
        </w:tc>
        <w:tc>
          <w:tcPr>
            <w:tcW w:type="dxa" w:w="23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À NOMMER</w:t>
            </w:r>
          </w:p>
        </w:tc>
      </w:tr>
      <w:tr>
        <w:trPr>
          <w:cantSplit/>
        </w:trPr>
        <w:tc>
          <w:tcPr>
            <w:tcW w:type="dxa" w:w="22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Sécurité / ICT</w:t>
            </w:r>
          </w:p>
        </w:tc>
        <w:tc>
          <w:tcPr>
            <w:tcW w:type="dxa" w:w="50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Risques techniques, incidents, continuité et fournisseurs</w:t>
            </w:r>
          </w:p>
        </w:tc>
        <w:tc>
          <w:tcPr>
            <w:tcW w:type="dxa" w:w="23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À NOMMER</w:t>
            </w:r>
          </w:p>
        </w:tc>
      </w:tr>
      <w:tr>
        <w:trPr>
          <w:cantSplit/>
        </w:trPr>
        <w:tc>
          <w:tcPr>
            <w:tcW w:type="dxa" w:w="22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Finance / trésorerie</w:t>
            </w:r>
          </w:p>
        </w:tc>
        <w:tc>
          <w:tcPr>
            <w:tcW w:type="dxa" w:w="50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Flux, valorisation, séparation, conflits et reporting</w:t>
            </w:r>
          </w:p>
        </w:tc>
        <w:tc>
          <w:tcPr>
            <w:tcW w:type="dxa" w:w="23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À NOMMER</w:t>
            </w:r>
          </w:p>
        </w:tc>
      </w:tr>
      <w:tr>
        <w:trPr>
          <w:cantSplit/>
        </w:trPr>
        <w:tc>
          <w:tcPr>
            <w:tcW w:type="dxa" w:w="22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Données / vie privée</w:t>
            </w:r>
          </w:p>
        </w:tc>
        <w:tc>
          <w:tcPr>
            <w:tcW w:type="dxa" w:w="50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Base légale, minimisation, droits et sous-traitants</w:t>
            </w:r>
          </w:p>
        </w:tc>
        <w:tc>
          <w:tcPr>
            <w:tcW w:type="dxa" w:w="23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À NOMMER</w:t>
            </w:r>
          </w:p>
        </w:tc>
      </w:tr>
      <w:tr>
        <w:trPr>
          <w:cantSplit/>
        </w:trPr>
        <w:tc>
          <w:tcPr>
            <w:tcW w:type="dxa" w:w="22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Communication</w:t>
            </w:r>
          </w:p>
        </w:tc>
        <w:tc>
          <w:tcPr>
            <w:tcW w:type="dxa" w:w="50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Validation préalable de tout contenu public</w:t>
            </w:r>
          </w:p>
        </w:tc>
        <w:tc>
          <w:tcPr>
            <w:tcW w:type="dxa" w:w="23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À NOMMER</w:t>
            </w:r>
          </w:p>
        </w:tc>
      </w:tr>
      <w:tr>
        <w:trPr>
          <w:cantSplit/>
        </w:trPr>
        <w:tc>
          <w:tcPr>
            <w:tcW w:type="dxa" w:w="22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Gardien des preuves</w:t>
            </w:r>
          </w:p>
        </w:tc>
        <w:tc>
          <w:tcPr>
            <w:tcW w:type="dxa" w:w="50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Versions, décisions, sources et chaîne de conservation</w:t>
            </w:r>
          </w:p>
        </w:tc>
        <w:tc>
          <w:tcPr>
            <w:tcW w:type="dxa" w:w="23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À NOMMER</w:t>
            </w:r>
          </w:p>
        </w:tc>
      </w:tr>
    </w:tbl>
    <w:p>
      <w:pPr>
        <w:spacing w:after="40"/>
      </w:pPr>
    </w:p>
    <w:p>
      <w:pPr>
        <w:pStyle w:val="Heading2"/>
      </w:pPr>
      <w:r>
        <w:t>Petite équipe : cumul de rôles</w:t>
      </w:r>
    </w:p>
    <w:p>
      <w:pPr>
        <w:numPr>
          <w:ilvl w:val="0"/>
          <w:numId w:val="18"/>
        </w:numPr>
        <w:spacing w:after="80" w:line="283" w:lineRule="auto"/>
      </w:pPr>
      <w:r>
        <w:rPr>
          <w:rFonts w:ascii="Arial" w:hAnsi="Arial" w:eastAsia="Arial"/>
          <w:color w:val="162019"/>
          <w:sz w:val="20"/>
        </w:rPr>
        <w:t>tout cumul est inscrit dans la matrice de responsabilités ;</w:t>
      </w:r>
    </w:p>
    <w:p>
      <w:pPr>
        <w:numPr>
          <w:ilvl w:val="0"/>
          <w:numId w:val="18"/>
        </w:numPr>
        <w:spacing w:after="80" w:line="283" w:lineRule="auto"/>
      </w:pPr>
      <w:r>
        <w:rPr>
          <w:rFonts w:ascii="Arial" w:hAnsi="Arial" w:eastAsia="Arial"/>
          <w:color w:val="162019"/>
          <w:sz w:val="20"/>
        </w:rPr>
        <w:t>l’auteur d’une proposition économique ne valide pas seul sa conformité ;</w:t>
      </w:r>
    </w:p>
    <w:p>
      <w:pPr>
        <w:numPr>
          <w:ilvl w:val="0"/>
          <w:numId w:val="18"/>
        </w:numPr>
        <w:spacing w:after="80" w:line="283" w:lineRule="auto"/>
      </w:pPr>
      <w:r>
        <w:rPr>
          <w:rFonts w:ascii="Arial" w:hAnsi="Arial" w:eastAsia="Arial"/>
          <w:color w:val="162019"/>
          <w:sz w:val="20"/>
        </w:rPr>
        <w:t>une décision irréversible exige une seconde revue indépendante lorsque disponible ;</w:t>
      </w:r>
    </w:p>
    <w:p>
      <w:pPr>
        <w:numPr>
          <w:ilvl w:val="0"/>
          <w:numId w:val="18"/>
        </w:numPr>
        <w:spacing w:after="80" w:line="283" w:lineRule="auto"/>
      </w:pPr>
      <w:r>
        <w:rPr>
          <w:rFonts w:ascii="Arial" w:hAnsi="Arial" w:eastAsia="Arial"/>
          <w:color w:val="162019"/>
          <w:sz w:val="20"/>
        </w:rPr>
        <w:t>un conflit non maîtrisable entraîne l’abstention, l’escalade ou le NO-GO ;</w:t>
      </w:r>
    </w:p>
    <w:p>
      <w:pPr>
        <w:numPr>
          <w:ilvl w:val="0"/>
          <w:numId w:val="18"/>
        </w:numPr>
        <w:spacing w:after="80" w:line="283" w:lineRule="auto"/>
      </w:pPr>
      <w:r>
        <w:rPr>
          <w:rFonts w:ascii="Arial" w:hAnsi="Arial" w:eastAsia="Arial"/>
          <w:color w:val="162019"/>
          <w:sz w:val="20"/>
        </w:rPr>
        <w:t>l’absence de titulaire ou de budget est un risque bloquant, pas une approbation tacite.</w:t>
      </w:r>
    </w:p>
    <w:p>
      <w:r>
        <w:br w:type="page"/>
      </w:r>
    </w:p>
    <w:p>
      <w:pPr>
        <w:keepNext/>
        <w:spacing w:before="440" w:after="100"/>
      </w:pPr>
      <w:r>
        <w:rPr>
          <w:rFonts w:ascii="Arial" w:hAnsi="Arial" w:eastAsia="Arial"/>
          <w:b/>
          <w:color w:val="C6A15B"/>
          <w:sz w:val="16"/>
        </w:rPr>
        <w:t>CHAPITRE 08</w:t>
      </w:r>
    </w:p>
    <w:p>
      <w:pPr>
        <w:pStyle w:val="Heading1"/>
        <w:pageBreakBefore w:val="0"/>
      </w:pPr>
      <w:r>
        <w:t>Régimes connexes</w:t>
      </w:r>
    </w:p>
    <w:p>
      <w:pPr>
        <w:keepNext/>
        <w:spacing w:after="320"/>
      </w:pPr>
      <w:r>
        <w:rPr>
          <w:rFonts w:ascii="Arial" w:hAnsi="Arial" w:eastAsia="Arial"/>
          <w:i/>
          <w:color w:val="66736B"/>
          <w:sz w:val="25"/>
        </w:rPr>
        <w:t>MiCA n’épuise ni les obligations ni les risques.</w:t>
      </w:r>
    </w:p>
    <w:tbl>
      <w:tblPr>
        <w:tblStyle w:val="TableGrid"/>
        <w:tblW w:type="dxa" w:w="9500"/>
        <w:jc w:val="left"/>
        <w:tblLayout w:type="fixed"/>
        <w:tblLook w:firstColumn="1" w:firstRow="1" w:lastColumn="0" w:lastRow="0" w:noHBand="0" w:noVBand="1" w:val="04A0"/>
        <w:tblInd w:w="120" w:type="dxa"/>
      </w:tblPr>
      <w:tblGrid>
        <w:gridCol w:w="2200"/>
        <w:gridCol w:w="5000"/>
        <w:gridCol w:w="2300"/>
      </w:tblGrid>
      <w:tr>
        <w:trPr>
          <w:tblHeader w:val="true"/>
          <w:cantSplit/>
        </w:trPr>
        <w:tc>
          <w:tcPr>
            <w:tcW w:type="dxa" w:w="22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Domaine</w:t>
            </w:r>
          </w:p>
        </w:tc>
        <w:tc>
          <w:tcPr>
            <w:tcW w:type="dxa" w:w="5000"/>
            <w:shd w:fill="0D3A28"/>
            <w:vAlign w:val="center"/>
            <w:tcMar>
              <w:top w:w="90" w:type="dxa"/>
              <w:start w:w="120" w:type="dxa"/>
              <w:bottom w:w="90" w:type="dxa"/>
              <w:end w:w="120" w:type="dxa"/>
            </w:tcMar>
          </w:tcPr>
          <w:p>
            <w:pPr>
              <w:spacing w:before="0" w:after="0" w:line="259" w:lineRule="auto"/>
              <w:jc w:val="left"/>
            </w:pPr>
            <w:r/>
            <w:r>
              <w:rPr>
                <w:rFonts w:ascii="Arial" w:hAnsi="Arial" w:eastAsia="Arial"/>
                <w:b/>
                <w:color w:val="FFFFFF"/>
                <w:sz w:val="17"/>
              </w:rPr>
              <w:t>Question à traiter</w:t>
            </w:r>
          </w:p>
        </w:tc>
        <w:tc>
          <w:tcPr>
            <w:tcW w:type="dxa" w:w="23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Gate</w:t>
            </w:r>
          </w:p>
        </w:tc>
      </w:tr>
      <w:tr>
        <w:trPr>
          <w:cantSplit/>
        </w:trPr>
        <w:tc>
          <w:tcPr>
            <w:tcW w:type="dxa" w:w="22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AML/CFT et sanctions</w:t>
            </w:r>
          </w:p>
        </w:tc>
        <w:tc>
          <w:tcPr>
            <w:tcW w:type="dxa" w:w="50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Flux, clients, contreparties, géographies, Travel Rule et obligations de vigilance</w:t>
            </w:r>
          </w:p>
        </w:tc>
        <w:tc>
          <w:tcPr>
            <w:tcW w:type="dxa" w:w="23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Avis conformité avant tout flux réel</w:t>
            </w:r>
          </w:p>
        </w:tc>
      </w:tr>
      <w:tr>
        <w:trPr>
          <w:cantSplit/>
        </w:trPr>
        <w:tc>
          <w:tcPr>
            <w:tcW w:type="dxa" w:w="22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DORA / résilience ICT</w:t>
            </w:r>
          </w:p>
        </w:tc>
        <w:tc>
          <w:tcPr>
            <w:tcW w:type="dxa" w:w="50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Pacturion serait-il une entité financière couverte ou un fournisseur critique ?</w:t>
            </w:r>
          </w:p>
        </w:tc>
        <w:tc>
          <w:tcPr>
            <w:tcW w:type="dxa" w:w="23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Analyse de périmètre et contrats ICT</w:t>
            </w:r>
          </w:p>
        </w:tc>
      </w:tr>
      <w:tr>
        <w:trPr>
          <w:cantSplit/>
        </w:trPr>
        <w:tc>
          <w:tcPr>
            <w:tcW w:type="dxa" w:w="22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Données personnelles</w:t>
            </w:r>
          </w:p>
        </w:tc>
        <w:tc>
          <w:tcPr>
            <w:tcW w:type="dxa" w:w="50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Wallet, IP, télémétrie, preuve et identité sont-elles des données personnelles ?</w:t>
            </w:r>
          </w:p>
        </w:tc>
        <w:tc>
          <w:tcPr>
            <w:tcW w:type="dxa" w:w="23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Registre, base légale, minimisation et rétention</w:t>
            </w:r>
          </w:p>
        </w:tc>
      </w:tr>
      <w:tr>
        <w:trPr>
          <w:cantSplit/>
        </w:trPr>
        <w:tc>
          <w:tcPr>
            <w:tcW w:type="dxa" w:w="22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Consommation</w:t>
            </w:r>
          </w:p>
        </w:tc>
        <w:tc>
          <w:tcPr>
            <w:tcW w:type="dxa" w:w="50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Un particulier reçoit-il une offre, un service ou une garantie ?</w:t>
            </w:r>
          </w:p>
        </w:tc>
        <w:tc>
          <w:tcPr>
            <w:tcW w:type="dxa" w:w="23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Information, pratiques loyales et recours</w:t>
            </w:r>
          </w:p>
        </w:tc>
      </w:tr>
      <w:tr>
        <w:trPr>
          <w:cantSplit/>
        </w:trPr>
        <w:tc>
          <w:tcPr>
            <w:tcW w:type="dxa" w:w="22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Services financiers</w:t>
            </w:r>
          </w:p>
        </w:tc>
        <w:tc>
          <w:tcPr>
            <w:tcW w:type="dxa" w:w="50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VERIDIA ou une fonctionnalité relève-t-il d’un instrument/service financier ?</w:t>
            </w:r>
          </w:p>
        </w:tc>
        <w:tc>
          <w:tcPr>
            <w:tcW w:type="dxa" w:w="23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Analyse prioritaire avant MiCA</w:t>
            </w:r>
          </w:p>
        </w:tc>
      </w:tr>
      <w:tr>
        <w:trPr>
          <w:cantSplit/>
        </w:trPr>
        <w:tc>
          <w:tcPr>
            <w:tcW w:type="dxa" w:w="22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Fiscalité / comptabilité</w:t>
            </w:r>
          </w:p>
        </w:tc>
        <w:tc>
          <w:tcPr>
            <w:tcW w:type="dxa" w:w="50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Émission, trésorerie, rémunération et valorisation</w:t>
            </w:r>
          </w:p>
        </w:tc>
        <w:tc>
          <w:tcPr>
            <w:tcW w:type="dxa" w:w="23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Doctrine et traitement documentés</w:t>
            </w:r>
          </w:p>
        </w:tc>
      </w:tr>
      <w:tr>
        <w:trPr>
          <w:cantSplit/>
        </w:trPr>
        <w:tc>
          <w:tcPr>
            <w:tcW w:type="dxa" w:w="22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Propriété intellectuelle</w:t>
            </w:r>
          </w:p>
        </w:tc>
        <w:tc>
          <w:tcPr>
            <w:tcW w:type="dxa" w:w="50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Code, marque, données, licences et contributions</w:t>
            </w:r>
          </w:p>
        </w:tc>
        <w:tc>
          <w:tcPr>
            <w:tcW w:type="dxa" w:w="23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Droits vérifiés avant publication</w:t>
            </w:r>
          </w:p>
        </w:tc>
      </w:tr>
    </w:tbl>
    <w:p>
      <w:pPr>
        <w:spacing w:after="40"/>
      </w:pPr>
    </w:p>
    <w:p>
      <w:pPr>
        <w:spacing w:before="100" w:after="180" w:line="283" w:lineRule="auto"/>
        <w:ind w:left="227" w:right="170"/>
        <w:shd w:fill="EDF3EF"/>
        <w:pBdr>
          <w:left w:val="single" w:sz="18" w:space="8" w:color="155A3E"/>
        </w:pBdr>
      </w:pPr>
      <w:r>
        <w:rPr>
          <w:rFonts w:ascii="Arial" w:hAnsi="Arial" w:eastAsia="Arial"/>
          <w:b/>
          <w:color w:val="155A3E"/>
          <w:sz w:val="16"/>
        </w:rPr>
        <w:t>DONNÉE CLÉ</w:t>
        <w:br/>
      </w:r>
      <w:r>
        <w:rPr>
          <w:rFonts w:ascii="Arial" w:hAnsi="Arial" w:eastAsia="Arial"/>
          <w:b w:val="0"/>
          <w:color w:val="162019"/>
          <w:sz w:val="20"/>
        </w:rPr>
        <w:t>Un identifiant de wallet n’est pas automatiquement anonyme. S’il peut être relié directement ou indirectement à une personne, l’analyse RGPD doit être menée.</w:t>
      </w:r>
    </w:p>
    <w:p>
      <w:r>
        <w:br w:type="page"/>
      </w:r>
    </w:p>
    <w:p>
      <w:pPr>
        <w:keepNext/>
        <w:spacing w:before="440" w:after="100"/>
      </w:pPr>
      <w:r>
        <w:rPr>
          <w:rFonts w:ascii="Arial" w:hAnsi="Arial" w:eastAsia="Arial"/>
          <w:b/>
          <w:color w:val="C6A15B"/>
          <w:sz w:val="16"/>
        </w:rPr>
        <w:t>CHAPITRE 09</w:t>
      </w:r>
    </w:p>
    <w:p>
      <w:pPr>
        <w:pStyle w:val="Heading1"/>
        <w:pageBreakBefore w:val="0"/>
      </w:pPr>
      <w:r>
        <w:t>Intégrité, conflits et trésorerie</w:t>
      </w:r>
    </w:p>
    <w:p>
      <w:pPr>
        <w:pStyle w:val="Heading2"/>
      </w:pPr>
      <w:r>
        <w:t>Contrôles avant toute économie de token</w:t>
      </w:r>
    </w:p>
    <w:tbl>
      <w:tblPr>
        <w:tblStyle w:val="TableGrid"/>
        <w:tblW w:type="dxa" w:w="9500"/>
        <w:jc w:val="left"/>
        <w:tblLayout w:type="fixed"/>
        <w:tblLook w:firstColumn="1" w:firstRow="1" w:lastColumn="0" w:lastRow="0" w:noHBand="0" w:noVBand="1" w:val="04A0"/>
        <w:tblInd w:w="120" w:type="dxa"/>
      </w:tblPr>
      <w:tblGrid>
        <w:gridCol w:w="2500"/>
        <w:gridCol w:w="7000"/>
      </w:tblGrid>
      <w:tr>
        <w:trPr>
          <w:tblHeader w:val="true"/>
          <w:cantSplit/>
        </w:trPr>
        <w:tc>
          <w:tcPr>
            <w:tcW w:type="dxa" w:w="25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Risque</w:t>
            </w:r>
          </w:p>
        </w:tc>
        <w:tc>
          <w:tcPr>
            <w:tcW w:type="dxa" w:w="70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Contrôle minimal</w:t>
            </w:r>
          </w:p>
        </w:tc>
      </w:tr>
      <w:tr>
        <w:trPr>
          <w:cantSplit/>
        </w:trPr>
        <w:tc>
          <w:tcPr>
            <w:tcW w:type="dxa" w:w="25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Allocation interne</w:t>
            </w:r>
          </w:p>
        </w:tc>
        <w:tc>
          <w:tcPr>
            <w:tcW w:type="dxa" w:w="70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Cap table token, vesting, bénéficiaire effectif, justification et publication cohérente</w:t>
            </w:r>
          </w:p>
        </w:tc>
      </w:tr>
      <w:tr>
        <w:trPr>
          <w:cantSplit/>
        </w:trPr>
        <w:tc>
          <w:tcPr>
            <w:tcW w:type="dxa" w:w="25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Trésorerie</w:t>
            </w:r>
          </w:p>
        </w:tc>
        <w:tc>
          <w:tcPr>
            <w:tcW w:type="dxa" w:w="70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Portefeuilles inventoriés, signatures séparées, limites et rapprochement</w:t>
            </w:r>
          </w:p>
        </w:tc>
      </w:tr>
      <w:tr>
        <w:trPr>
          <w:cantSplit/>
        </w:trPr>
        <w:tc>
          <w:tcPr>
            <w:tcW w:type="dxa" w:w="25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Conflits</w:t>
            </w:r>
          </w:p>
        </w:tc>
        <w:tc>
          <w:tcPr>
            <w:tcW w:type="dxa" w:w="70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Registre des intérêts, abstention, revue et information appropriée</w:t>
            </w:r>
          </w:p>
        </w:tc>
      </w:tr>
      <w:tr>
        <w:trPr>
          <w:cantSplit/>
        </w:trPr>
        <w:tc>
          <w:tcPr>
            <w:tcW w:type="dxa" w:w="25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Information privilégiée</w:t>
            </w:r>
          </w:p>
        </w:tc>
        <w:tc>
          <w:tcPr>
            <w:tcW w:type="dxa" w:w="70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Accès borné, journal, fenêtre de communication et conduite personnelle</w:t>
            </w:r>
          </w:p>
        </w:tc>
      </w:tr>
      <w:tr>
        <w:trPr>
          <w:cantSplit/>
        </w:trPr>
        <w:tc>
          <w:tcPr>
            <w:tcW w:type="dxa" w:w="25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Manipulation</w:t>
            </w:r>
          </w:p>
        </w:tc>
        <w:tc>
          <w:tcPr>
            <w:tcW w:type="dxa" w:w="70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Interdiction des volumes artificiels, wash trading, signaux trompeurs ou annonces opportunistes</w:t>
            </w:r>
          </w:p>
        </w:tc>
      </w:tr>
      <w:tr>
        <w:trPr>
          <w:cantSplit/>
        </w:trPr>
        <w:tc>
          <w:tcPr>
            <w:tcW w:type="dxa" w:w="25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Liquidité</w:t>
            </w:r>
          </w:p>
        </w:tc>
        <w:tc>
          <w:tcPr>
            <w:tcW w:type="dxa" w:w="70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Mandats, incitations, reporting et surveillance d’un éventuel prestataire</w:t>
            </w:r>
          </w:p>
        </w:tc>
      </w:tr>
      <w:tr>
        <w:trPr>
          <w:cantSplit/>
        </w:trPr>
        <w:tc>
          <w:tcPr>
            <w:tcW w:type="dxa" w:w="25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Opérations personnelles</w:t>
            </w:r>
          </w:p>
        </w:tc>
        <w:tc>
          <w:tcPr>
            <w:tcW w:type="dxa" w:w="70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Règles d’autorisation, déclaration et conservation des preuves</w:t>
            </w:r>
          </w:p>
        </w:tc>
      </w:tr>
    </w:tbl>
    <w:p>
      <w:pPr>
        <w:spacing w:after="40"/>
      </w:pPr>
    </w:p>
    <w:p>
      <w:pPr>
        <w:pStyle w:val="Heading2"/>
      </w:pPr>
      <w:r>
        <w:t>Séparation des comptes et des récits</w:t>
      </w:r>
    </w:p>
    <w:p>
      <w:pPr>
        <w:numPr>
          <w:ilvl w:val="0"/>
          <w:numId w:val="19"/>
        </w:numPr>
        <w:spacing w:after="80" w:line="283" w:lineRule="auto"/>
      </w:pPr>
      <w:r>
        <w:rPr>
          <w:rFonts w:ascii="Arial" w:hAnsi="Arial" w:eastAsia="Arial"/>
          <w:color w:val="162019"/>
          <w:sz w:val="20"/>
        </w:rPr>
        <w:t>ne jamais mélanger actifs de Pacturion, actifs de fondateurs, actifs de clients ou actifs de test ;</w:t>
      </w:r>
    </w:p>
    <w:p>
      <w:pPr>
        <w:numPr>
          <w:ilvl w:val="0"/>
          <w:numId w:val="19"/>
        </w:numPr>
        <w:spacing w:after="80" w:line="283" w:lineRule="auto"/>
      </w:pPr>
      <w:r>
        <w:rPr>
          <w:rFonts w:ascii="Arial" w:hAnsi="Arial" w:eastAsia="Arial"/>
          <w:color w:val="162019"/>
          <w:sz w:val="20"/>
        </w:rPr>
        <w:t>ne pas publier une métrique de testnet comme volume, adoption, TVL ou demande de marché ;</w:t>
      </w:r>
    </w:p>
    <w:p>
      <w:pPr>
        <w:numPr>
          <w:ilvl w:val="0"/>
          <w:numId w:val="19"/>
        </w:numPr>
        <w:spacing w:after="80" w:line="283" w:lineRule="auto"/>
      </w:pPr>
      <w:r>
        <w:rPr>
          <w:rFonts w:ascii="Arial" w:hAnsi="Arial" w:eastAsia="Arial"/>
          <w:color w:val="162019"/>
          <w:sz w:val="20"/>
        </w:rPr>
        <w:t>identifier les transactions internes, tests, grants et opérations de prestataires ;</w:t>
      </w:r>
    </w:p>
    <w:p>
      <w:pPr>
        <w:numPr>
          <w:ilvl w:val="0"/>
          <w:numId w:val="19"/>
        </w:numPr>
        <w:spacing w:after="80" w:line="283" w:lineRule="auto"/>
      </w:pPr>
      <w:r>
        <w:rPr>
          <w:rFonts w:ascii="Arial" w:hAnsi="Arial" w:eastAsia="Arial"/>
          <w:color w:val="162019"/>
          <w:sz w:val="20"/>
        </w:rPr>
        <w:t>conserver la méthode de calcul de toute métrique publique et son périmètre temporel ;</w:t>
      </w:r>
    </w:p>
    <w:p>
      <w:pPr>
        <w:numPr>
          <w:ilvl w:val="0"/>
          <w:numId w:val="19"/>
        </w:numPr>
        <w:spacing w:after="80" w:line="283" w:lineRule="auto"/>
      </w:pPr>
      <w:r>
        <w:rPr>
          <w:rFonts w:ascii="Arial" w:hAnsi="Arial" w:eastAsia="Arial"/>
          <w:color w:val="162019"/>
          <w:sz w:val="20"/>
        </w:rPr>
        <w:t>corriger publiquement une information matérielle erronée selon une procédure contrôlée.</w:t>
      </w:r>
    </w:p>
    <w:p>
      <w:r>
        <w:br w:type="page"/>
      </w:r>
    </w:p>
    <w:p>
      <w:pPr>
        <w:keepNext/>
        <w:spacing w:before="440" w:after="100"/>
      </w:pPr>
      <w:r>
        <w:rPr>
          <w:rFonts w:ascii="Arial" w:hAnsi="Arial" w:eastAsia="Arial"/>
          <w:b/>
          <w:color w:val="C6A15B"/>
          <w:sz w:val="16"/>
        </w:rPr>
        <w:t>CHAPITRE 10</w:t>
      </w:r>
    </w:p>
    <w:p>
      <w:pPr>
        <w:pStyle w:val="Heading1"/>
        <w:pageBreakBefore w:val="0"/>
      </w:pPr>
      <w:r>
        <w:t>Cycle de conformité et changement</w:t>
      </w:r>
    </w:p>
    <w:tbl>
      <w:tblPr>
        <w:tblStyle w:val="TableGrid"/>
        <w:tblW w:type="dxa" w:w="9500"/>
        <w:jc w:val="left"/>
        <w:tblLayout w:type="fixed"/>
        <w:tblLook w:firstColumn="1" w:firstRow="1" w:lastColumn="0" w:lastRow="0" w:noHBand="0" w:noVBand="1" w:val="04A0"/>
        <w:tblInd w:w="120" w:type="dxa"/>
      </w:tblPr>
      <w:tblGrid>
        <w:gridCol w:w="2700"/>
        <w:gridCol w:w="6800"/>
      </w:tblGrid>
      <w:tr>
        <w:trPr>
          <w:tblHeader w:val="true"/>
          <w:cantSplit/>
        </w:trPr>
        <w:tc>
          <w:tcPr>
            <w:tcW w:type="dxa" w:w="27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Événement</w:t>
            </w:r>
          </w:p>
        </w:tc>
        <w:tc>
          <w:tcPr>
            <w:tcW w:type="dxa" w:w="6800"/>
            <w:shd w:fill="0D3A28"/>
            <w:vAlign w:val="center"/>
            <w:tcMar>
              <w:top w:w="90" w:type="dxa"/>
              <w:start w:w="120" w:type="dxa"/>
              <w:bottom w:w="90" w:type="dxa"/>
              <w:end w:w="120" w:type="dxa"/>
            </w:tcMar>
          </w:tcPr>
          <w:p>
            <w:pPr>
              <w:spacing w:before="0" w:after="0" w:line="259" w:lineRule="auto"/>
              <w:jc w:val="left"/>
            </w:pPr>
            <w:r/>
            <w:r>
              <w:rPr>
                <w:rFonts w:ascii="Arial" w:hAnsi="Arial" w:eastAsia="Arial"/>
                <w:b/>
                <w:color w:val="FFFFFF"/>
                <w:sz w:val="17"/>
              </w:rPr>
              <w:t>Réévaluation obligatoire</w:t>
            </w:r>
          </w:p>
        </w:tc>
      </w:tr>
      <w:tr>
        <w:trPr>
          <w:cantSplit/>
        </w:trPr>
        <w:tc>
          <w:tcPr>
            <w:tcW w:type="dxa" w:w="27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Nouvelle fonction</w:t>
            </w:r>
          </w:p>
        </w:tc>
        <w:tc>
          <w:tcPr>
            <w:tcW w:type="dxa" w:w="68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Actif, service, client, données, flux, garde, rémunération et communication</w:t>
            </w:r>
          </w:p>
        </w:tc>
      </w:tr>
      <w:tr>
        <w:trPr>
          <w:cantSplit/>
        </w:trPr>
        <w:tc>
          <w:tcPr>
            <w:tcW w:type="dxa" w:w="27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Nouveau pays / langue</w:t>
            </w:r>
          </w:p>
        </w:tc>
        <w:tc>
          <w:tcPr>
            <w:tcW w:type="dxa" w:w="68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Territorialité, sollicitation, restrictions et autorité compétente</w:t>
            </w:r>
          </w:p>
        </w:tc>
      </w:tr>
      <w:tr>
        <w:trPr>
          <w:cantSplit/>
        </w:trPr>
        <w:tc>
          <w:tcPr>
            <w:tcW w:type="dxa" w:w="27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Pilote externe</w:t>
            </w:r>
          </w:p>
        </w:tc>
        <w:tc>
          <w:tcPr>
            <w:tcW w:type="dxa" w:w="68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Contrat, participants, fonds, données, support, réclamations et statut réglementaire</w:t>
            </w:r>
          </w:p>
        </w:tc>
      </w:tr>
      <w:tr>
        <w:trPr>
          <w:cantSplit/>
        </w:trPr>
        <w:tc>
          <w:tcPr>
            <w:tcW w:type="dxa" w:w="27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Modification VERIDIA</w:t>
            </w:r>
          </w:p>
        </w:tc>
        <w:tc>
          <w:tcPr>
            <w:tcW w:type="dxa" w:w="68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Droits, stabilité, supply, transférabilité, gouvernance et trésorerie</w:t>
            </w:r>
          </w:p>
        </w:tc>
      </w:tr>
      <w:tr>
        <w:trPr>
          <w:cantSplit/>
        </w:trPr>
        <w:tc>
          <w:tcPr>
            <w:tcW w:type="dxa" w:w="27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Partenariat</w:t>
            </w:r>
          </w:p>
        </w:tc>
        <w:tc>
          <w:tcPr>
            <w:tcW w:type="dxa" w:w="68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Rôle réel, sous-traitance, responsabilité, communication et auditabilité</w:t>
            </w:r>
          </w:p>
        </w:tc>
      </w:tr>
      <w:tr>
        <w:trPr>
          <w:cantSplit/>
        </w:trPr>
        <w:tc>
          <w:tcPr>
            <w:tcW w:type="dxa" w:w="27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Incident / plainte</w:t>
            </w:r>
          </w:p>
        </w:tc>
        <w:tc>
          <w:tcPr>
            <w:tcW w:type="dxa" w:w="68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Cause, impact client, notification, correction et pertinence de la documentation</w:t>
            </w:r>
          </w:p>
        </w:tc>
      </w:tr>
      <w:tr>
        <w:trPr>
          <w:cantSplit/>
        </w:trPr>
        <w:tc>
          <w:tcPr>
            <w:tcW w:type="dxa" w:w="27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Évolution réglementaire</w:t>
            </w:r>
          </w:p>
        </w:tc>
        <w:tc>
          <w:tcPr>
            <w:tcW w:type="dxa" w:w="68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Périmètre, procédures, formats, registres et date d’entrée en application</w:t>
            </w:r>
          </w:p>
        </w:tc>
      </w:tr>
    </w:tbl>
    <w:p>
      <w:pPr>
        <w:spacing w:after="40"/>
      </w:pPr>
    </w:p>
    <w:p>
      <w:pPr>
        <w:pStyle w:val="Heading2"/>
      </w:pPr>
      <w:r>
        <w:t>Fiche de décision</w:t>
      </w:r>
    </w:p>
    <w:tbl>
      <w:tblPr>
        <w:tblStyle w:val="TableGrid"/>
        <w:tblW w:type="dxa" w:w="9500"/>
        <w:jc w:val="left"/>
        <w:tblLayout w:type="fixed"/>
        <w:tblLook w:firstColumn="1" w:firstRow="1" w:lastColumn="0" w:lastRow="0" w:noHBand="0" w:noVBand="1" w:val="04A0"/>
        <w:tblInd w:w="120" w:type="dxa"/>
      </w:tblPr>
      <w:tblGrid>
        <w:gridCol w:w="2600"/>
        <w:gridCol w:w="6900"/>
      </w:tblGrid>
      <w:tr>
        <w:trPr>
          <w:tblHeader w:val="true"/>
          <w:cantSplit/>
        </w:trPr>
        <w:tc>
          <w:tcPr>
            <w:tcW w:type="dxa" w:w="26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Champ</w:t>
            </w:r>
          </w:p>
        </w:tc>
        <w:tc>
          <w:tcPr>
            <w:tcW w:type="dxa" w:w="6900"/>
            <w:shd w:fill="0D3A28"/>
            <w:vAlign w:val="center"/>
            <w:tcMar>
              <w:top w:w="90" w:type="dxa"/>
              <w:start w:w="120" w:type="dxa"/>
              <w:bottom w:w="90" w:type="dxa"/>
              <w:end w:w="120" w:type="dxa"/>
            </w:tcMar>
          </w:tcPr>
          <w:p>
            <w:pPr>
              <w:spacing w:before="0" w:after="0" w:line="259" w:lineRule="auto"/>
              <w:jc w:val="left"/>
            </w:pPr>
            <w:r/>
            <w:r>
              <w:rPr>
                <w:rFonts w:ascii="Arial" w:hAnsi="Arial" w:eastAsia="Arial"/>
                <w:b/>
                <w:color w:val="FFFFFF"/>
                <w:sz w:val="17"/>
              </w:rPr>
              <w:t>Contenu obligatoire</w:t>
            </w:r>
          </w:p>
        </w:tc>
      </w:tr>
      <w:tr>
        <w:trPr>
          <w:cantSplit/>
        </w:trPr>
        <w:tc>
          <w:tcPr>
            <w:tcW w:type="dxa" w:w="26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Objet</w:t>
            </w:r>
          </w:p>
        </w:tc>
        <w:tc>
          <w:tcPr>
            <w:tcW w:type="dxa" w:w="69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Fonction, offre, service, document ou changement évalué</w:t>
            </w:r>
          </w:p>
        </w:tc>
      </w:tr>
      <w:tr>
        <w:trPr>
          <w:cantSplit/>
        </w:trPr>
        <w:tc>
          <w:tcPr>
            <w:tcW w:type="dxa" w:w="26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Faits</w:t>
            </w:r>
          </w:p>
        </w:tc>
        <w:tc>
          <w:tcPr>
            <w:tcW w:type="dxa" w:w="69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Version du code, conditions, public, territoire, flux et acteurs</w:t>
            </w:r>
          </w:p>
        </w:tc>
      </w:tr>
      <w:tr>
        <w:trPr>
          <w:cantSplit/>
        </w:trPr>
        <w:tc>
          <w:tcPr>
            <w:tcW w:type="dxa" w:w="26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Qualification</w:t>
            </w:r>
          </w:p>
        </w:tc>
        <w:tc>
          <w:tcPr>
            <w:tcW w:type="dxa" w:w="69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Analyse, incertitudes, exceptions et régimes connexes</w:t>
            </w:r>
          </w:p>
        </w:tc>
      </w:tr>
      <w:tr>
        <w:trPr>
          <w:cantSplit/>
        </w:trPr>
        <w:tc>
          <w:tcPr>
            <w:tcW w:type="dxa" w:w="26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Sources</w:t>
            </w:r>
          </w:p>
        </w:tc>
        <w:tc>
          <w:tcPr>
            <w:tcW w:type="dxa" w:w="69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Textes officiels, avis externe et date de consultation</w:t>
            </w:r>
          </w:p>
        </w:tc>
      </w:tr>
      <w:tr>
        <w:trPr>
          <w:cantSplit/>
        </w:trPr>
        <w:tc>
          <w:tcPr>
            <w:tcW w:type="dxa" w:w="26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Risques</w:t>
            </w:r>
          </w:p>
        </w:tc>
        <w:tc>
          <w:tcPr>
            <w:tcW w:type="dxa" w:w="69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Probabilité, impact, personnes concernées et contrôles</w:t>
            </w:r>
          </w:p>
        </w:tc>
      </w:tr>
      <w:tr>
        <w:trPr>
          <w:cantSplit/>
        </w:trPr>
        <w:tc>
          <w:tcPr>
            <w:tcW w:type="dxa" w:w="26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Décision</w:t>
            </w:r>
          </w:p>
        </w:tc>
        <w:tc>
          <w:tcPr>
            <w:tcW w:type="dxa" w:w="69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GO, GO conditionnel ou NO-GO ; conditions et date d’expiration</w:t>
            </w:r>
          </w:p>
        </w:tc>
      </w:tr>
      <w:tr>
        <w:trPr>
          <w:cantSplit/>
        </w:trPr>
        <w:tc>
          <w:tcPr>
            <w:tcW w:type="dxa" w:w="26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Approbateurs</w:t>
            </w:r>
          </w:p>
        </w:tc>
        <w:tc>
          <w:tcPr>
            <w:tcW w:type="dxa" w:w="69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Noms, rôles, conflits déclarés, date et signature</w:t>
            </w:r>
          </w:p>
        </w:tc>
      </w:tr>
      <w:tr>
        <w:trPr>
          <w:cantSplit/>
        </w:trPr>
        <w:tc>
          <w:tcPr>
            <w:tcW w:type="dxa" w:w="26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Preuves</w:t>
            </w:r>
          </w:p>
        </w:tc>
        <w:tc>
          <w:tcPr>
            <w:tcW w:type="dxa" w:w="69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Liens, version, hash et conservation</w:t>
            </w:r>
          </w:p>
        </w:tc>
      </w:tr>
    </w:tbl>
    <w:p>
      <w:pPr>
        <w:spacing w:after="40"/>
      </w:pPr>
    </w:p>
    <w:p>
      <w:r>
        <w:br w:type="page"/>
      </w:r>
    </w:p>
    <w:p>
      <w:pPr>
        <w:keepNext/>
        <w:spacing w:before="440" w:after="100"/>
      </w:pPr>
      <w:r>
        <w:rPr>
          <w:rFonts w:ascii="Arial" w:hAnsi="Arial" w:eastAsia="Arial"/>
          <w:b/>
          <w:color w:val="C6A15B"/>
          <w:sz w:val="16"/>
        </w:rPr>
        <w:t>CHAPITRE 11</w:t>
      </w:r>
    </w:p>
    <w:p>
      <w:pPr>
        <w:pStyle w:val="Heading1"/>
        <w:pageBreakBefore w:val="0"/>
      </w:pPr>
      <w:r>
        <w:t>Incidents, réclamations et coopération</w:t>
      </w:r>
    </w:p>
    <w:tbl>
      <w:tblPr>
        <w:tblStyle w:val="TableGrid"/>
        <w:tblW w:type="dxa" w:w="9500"/>
        <w:jc w:val="left"/>
        <w:tblLayout w:type="fixed"/>
        <w:tblLook w:firstColumn="1" w:firstRow="1" w:lastColumn="0" w:lastRow="0" w:noHBand="0" w:noVBand="1" w:val="04A0"/>
        <w:tblInd w:w="120" w:type="dxa"/>
      </w:tblPr>
      <w:tblGrid>
        <w:gridCol w:w="2900"/>
        <w:gridCol w:w="6600"/>
      </w:tblGrid>
      <w:tr>
        <w:trPr>
          <w:tblHeader w:val="true"/>
          <w:cantSplit/>
        </w:trPr>
        <w:tc>
          <w:tcPr>
            <w:tcW w:type="dxa" w:w="29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Flux</w:t>
            </w:r>
          </w:p>
        </w:tc>
        <w:tc>
          <w:tcPr>
            <w:tcW w:type="dxa" w:w="66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Exigence</w:t>
            </w:r>
          </w:p>
        </w:tc>
      </w:tr>
      <w:tr>
        <w:trPr>
          <w:cantSplit/>
        </w:trPr>
        <w:tc>
          <w:tcPr>
            <w:tcW w:type="dxa" w:w="29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Incident ICT</w:t>
            </w:r>
          </w:p>
        </w:tc>
        <w:tc>
          <w:tcPr>
            <w:tcW w:type="dxa" w:w="66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Qualifier, contenir, préserver, décider des notifications et suivre la remédiation</w:t>
            </w:r>
          </w:p>
        </w:tc>
      </w:tr>
      <w:tr>
        <w:trPr>
          <w:cantSplit/>
        </w:trPr>
        <w:tc>
          <w:tcPr>
            <w:tcW w:type="dxa" w:w="29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Incident actifs / clés</w:t>
            </w:r>
          </w:p>
        </w:tc>
        <w:tc>
          <w:tcPr>
            <w:tcW w:type="dxa" w:w="66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Geler l’action, séparer les environnements, protéger les preuves et escalader</w:t>
            </w:r>
          </w:p>
        </w:tc>
      </w:tr>
      <w:tr>
        <w:trPr>
          <w:cantSplit/>
        </w:trPr>
        <w:tc>
          <w:tcPr>
            <w:tcW w:type="dxa" w:w="29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Information trompeuse</w:t>
            </w:r>
          </w:p>
        </w:tc>
        <w:tc>
          <w:tcPr>
            <w:tcW w:type="dxa" w:w="66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Retirer ou corriger, mesurer l’audience, conserver versions et approuver le message</w:t>
            </w:r>
          </w:p>
        </w:tc>
      </w:tr>
      <w:tr>
        <w:trPr>
          <w:cantSplit/>
        </w:trPr>
        <w:tc>
          <w:tcPr>
            <w:tcW w:type="dxa" w:w="29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Réclamation</w:t>
            </w:r>
          </w:p>
        </w:tc>
        <w:tc>
          <w:tcPr>
            <w:tcW w:type="dxa" w:w="66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Canal visible, accusé, analyse impartiale, réponse, recours et registre</w:t>
            </w:r>
          </w:p>
        </w:tc>
      </w:tr>
      <w:tr>
        <w:trPr>
          <w:cantSplit/>
        </w:trPr>
        <w:tc>
          <w:tcPr>
            <w:tcW w:type="dxa" w:w="29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Demande d’autorité</w:t>
            </w:r>
          </w:p>
        </w:tc>
        <w:tc>
          <w:tcPr>
            <w:tcW w:type="dxa" w:w="66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Identité vérifiée, point de contact, gel de conservation, réponse exacte et tracée</w:t>
            </w:r>
          </w:p>
        </w:tc>
      </w:tr>
      <w:tr>
        <w:trPr>
          <w:cantSplit/>
        </w:trPr>
        <w:tc>
          <w:tcPr>
            <w:tcW w:type="dxa" w:w="29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Violation de données</w:t>
            </w:r>
          </w:p>
        </w:tc>
        <w:tc>
          <w:tcPr>
            <w:tcW w:type="dxa" w:w="66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Analyse RGPD, documentation, notification si requise et information des personnes</w:t>
            </w:r>
          </w:p>
        </w:tc>
      </w:tr>
    </w:tbl>
    <w:p>
      <w:pPr>
        <w:spacing w:after="40"/>
      </w:pPr>
    </w:p>
    <w:p>
      <w:pPr>
        <w:pStyle w:val="Heading2"/>
      </w:pPr>
      <w:r>
        <w:t>Règles de coopération</w:t>
      </w:r>
    </w:p>
    <w:p>
      <w:pPr>
        <w:numPr>
          <w:ilvl w:val="0"/>
          <w:numId w:val="20"/>
        </w:numPr>
        <w:spacing w:after="80" w:line="283" w:lineRule="auto"/>
      </w:pPr>
      <w:r>
        <w:rPr>
          <w:rFonts w:ascii="Arial" w:hAnsi="Arial" w:eastAsia="Arial"/>
          <w:color w:val="162019"/>
          <w:sz w:val="20"/>
        </w:rPr>
        <w:t>ne pas altérer, compléter rétroactivement ou supprimer un artefact demandé ;</w:t>
      </w:r>
    </w:p>
    <w:p>
      <w:pPr>
        <w:numPr>
          <w:ilvl w:val="0"/>
          <w:numId w:val="20"/>
        </w:numPr>
        <w:spacing w:after="80" w:line="283" w:lineRule="auto"/>
      </w:pPr>
      <w:r>
        <w:rPr>
          <w:rFonts w:ascii="Arial" w:hAnsi="Arial" w:eastAsia="Arial"/>
          <w:color w:val="162019"/>
          <w:sz w:val="20"/>
        </w:rPr>
        <w:t>distinguer fait observé, estimation, hypothèse et opinion juridique ;</w:t>
      </w:r>
    </w:p>
    <w:p>
      <w:pPr>
        <w:numPr>
          <w:ilvl w:val="0"/>
          <w:numId w:val="20"/>
        </w:numPr>
        <w:spacing w:after="80" w:line="283" w:lineRule="auto"/>
      </w:pPr>
      <w:r>
        <w:rPr>
          <w:rFonts w:ascii="Arial" w:hAnsi="Arial" w:eastAsia="Arial"/>
          <w:color w:val="162019"/>
          <w:sz w:val="20"/>
        </w:rPr>
        <w:t>répondre dans le périmètre de la demande avec un propriétaire et un contrôle qualité ;</w:t>
      </w:r>
    </w:p>
    <w:p>
      <w:pPr>
        <w:numPr>
          <w:ilvl w:val="0"/>
          <w:numId w:val="20"/>
        </w:numPr>
        <w:spacing w:after="80" w:line="283" w:lineRule="auto"/>
      </w:pPr>
      <w:r>
        <w:rPr>
          <w:rFonts w:ascii="Arial" w:hAnsi="Arial" w:eastAsia="Arial"/>
          <w:color w:val="162019"/>
          <w:sz w:val="20"/>
        </w:rPr>
        <w:t>conserver la chronologie, les destinataires, les pièces transmises et la base de décision ;</w:t>
      </w:r>
    </w:p>
    <w:p>
      <w:pPr>
        <w:numPr>
          <w:ilvl w:val="0"/>
          <w:numId w:val="20"/>
        </w:numPr>
        <w:spacing w:after="80" w:line="283" w:lineRule="auto"/>
      </w:pPr>
      <w:r>
        <w:rPr>
          <w:rFonts w:ascii="Arial" w:hAnsi="Arial" w:eastAsia="Arial"/>
          <w:color w:val="162019"/>
          <w:sz w:val="20"/>
        </w:rPr>
        <w:t>faire valider par le conseil toute réponse comportant une qualification juridique sensible.</w:t>
      </w:r>
    </w:p>
    <w:p>
      <w:r>
        <w:br w:type="page"/>
      </w:r>
    </w:p>
    <w:p>
      <w:pPr>
        <w:keepNext/>
        <w:spacing w:before="440" w:after="100"/>
      </w:pPr>
      <w:r>
        <w:rPr>
          <w:rFonts w:ascii="Arial" w:hAnsi="Arial" w:eastAsia="Arial"/>
          <w:b/>
          <w:color w:val="C6A15B"/>
          <w:sz w:val="16"/>
        </w:rPr>
        <w:t>CHAPITRE 12</w:t>
      </w:r>
    </w:p>
    <w:p>
      <w:pPr>
        <w:pStyle w:val="Heading1"/>
        <w:pageBreakBefore w:val="0"/>
      </w:pPr>
      <w:r>
        <w:t>Registres, gates et décision</w:t>
      </w:r>
    </w:p>
    <w:p>
      <w:pPr>
        <w:pStyle w:val="Heading2"/>
      </w:pPr>
      <w:r>
        <w:t>Registres minimaux</w:t>
      </w:r>
    </w:p>
    <w:tbl>
      <w:tblPr>
        <w:tblStyle w:val="TableGrid"/>
        <w:tblW w:type="dxa" w:w="9500"/>
        <w:jc w:val="left"/>
        <w:tblLayout w:type="fixed"/>
        <w:tblLook w:firstColumn="1" w:firstRow="1" w:lastColumn="0" w:lastRow="0" w:noHBand="0" w:noVBand="1" w:val="04A0"/>
        <w:tblInd w:w="120" w:type="dxa"/>
      </w:tblPr>
      <w:tblGrid>
        <w:gridCol w:w="2600"/>
        <w:gridCol w:w="6900"/>
      </w:tblGrid>
      <w:tr>
        <w:trPr>
          <w:tblHeader w:val="true"/>
          <w:cantSplit/>
        </w:trPr>
        <w:tc>
          <w:tcPr>
            <w:tcW w:type="dxa" w:w="26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Registre</w:t>
            </w:r>
          </w:p>
        </w:tc>
        <w:tc>
          <w:tcPr>
            <w:tcW w:type="dxa" w:w="69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Contenu</w:t>
            </w:r>
          </w:p>
        </w:tc>
      </w:tr>
      <w:tr>
        <w:trPr>
          <w:cantSplit/>
        </w:trPr>
        <w:tc>
          <w:tcPr>
            <w:tcW w:type="dxa" w:w="26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Périmètre réglementaire</w:t>
            </w:r>
          </w:p>
        </w:tc>
        <w:tc>
          <w:tcPr>
            <w:tcW w:type="dxa" w:w="69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Actifs, activités, acteurs, pays, conclusions et dates de revue</w:t>
            </w:r>
          </w:p>
        </w:tc>
      </w:tr>
      <w:tr>
        <w:trPr>
          <w:cantSplit/>
        </w:trPr>
        <w:tc>
          <w:tcPr>
            <w:tcW w:type="dxa" w:w="26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Décisions</w:t>
            </w:r>
          </w:p>
        </w:tc>
        <w:tc>
          <w:tcPr>
            <w:tcW w:type="dxa" w:w="69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Faits, options, risques, approbateurs, conditions et preuves</w:t>
            </w:r>
          </w:p>
        </w:tc>
      </w:tr>
      <w:tr>
        <w:trPr>
          <w:cantSplit/>
        </w:trPr>
        <w:tc>
          <w:tcPr>
            <w:tcW w:type="dxa" w:w="26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Communications</w:t>
            </w:r>
          </w:p>
        </w:tc>
        <w:tc>
          <w:tcPr>
            <w:tcW w:type="dxa" w:w="69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Site, posts, pitch, campagnes, version, validation et audience</w:t>
            </w:r>
          </w:p>
        </w:tc>
      </w:tr>
      <w:tr>
        <w:trPr>
          <w:cantSplit/>
        </w:trPr>
        <w:tc>
          <w:tcPr>
            <w:tcW w:type="dxa" w:w="26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Conflits / intérêts</w:t>
            </w:r>
          </w:p>
        </w:tc>
        <w:tc>
          <w:tcPr>
            <w:tcW w:type="dxa" w:w="69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Personne, intérêt, opération, mesure et décision</w:t>
            </w:r>
          </w:p>
        </w:tc>
      </w:tr>
      <w:tr>
        <w:trPr>
          <w:cantSplit/>
        </w:trPr>
        <w:tc>
          <w:tcPr>
            <w:tcW w:type="dxa" w:w="26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Réclamations</w:t>
            </w:r>
          </w:p>
        </w:tc>
        <w:tc>
          <w:tcPr>
            <w:tcW w:type="dxa" w:w="69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Réception, catégorie, traitement, délai, issue et tendance</w:t>
            </w:r>
          </w:p>
        </w:tc>
      </w:tr>
      <w:tr>
        <w:trPr>
          <w:cantSplit/>
        </w:trPr>
        <w:tc>
          <w:tcPr>
            <w:tcW w:type="dxa" w:w="26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Incidents</w:t>
            </w:r>
          </w:p>
        </w:tc>
        <w:tc>
          <w:tcPr>
            <w:tcW w:type="dxa" w:w="69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Chronologie, impact, notifications, cause et remédiation</w:t>
            </w:r>
          </w:p>
        </w:tc>
      </w:tr>
      <w:tr>
        <w:trPr>
          <w:cantSplit/>
        </w:trPr>
        <w:tc>
          <w:tcPr>
            <w:tcW w:type="dxa" w:w="26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Fournisseurs / ICT</w:t>
            </w:r>
          </w:p>
        </w:tc>
        <w:tc>
          <w:tcPr>
            <w:tcW w:type="dxa" w:w="69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Service, données, dépendance, contrat, audit et sortie</w:t>
            </w:r>
          </w:p>
        </w:tc>
      </w:tr>
      <w:tr>
        <w:trPr>
          <w:cantSplit/>
        </w:trPr>
        <w:tc>
          <w:tcPr>
            <w:tcW w:type="dxa" w:w="26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Trésorerie / token</w:t>
            </w:r>
          </w:p>
        </w:tc>
        <w:tc>
          <w:tcPr>
            <w:tcW w:type="dxa" w:w="69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Wallets, détenteurs internes, mouvements, approbations et rapprochements</w:t>
            </w:r>
          </w:p>
        </w:tc>
      </w:tr>
      <w:tr>
        <w:trPr>
          <w:cantSplit/>
        </w:trPr>
        <w:tc>
          <w:tcPr>
            <w:tcW w:type="dxa" w:w="26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Livres blancs</w:t>
            </w:r>
          </w:p>
        </w:tc>
        <w:tc>
          <w:tcPr>
            <w:tcW w:type="dxa" w:w="69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Version, approbation, notification, publication, modification et retrait</w:t>
            </w:r>
          </w:p>
        </w:tc>
      </w:tr>
    </w:tbl>
    <w:p>
      <w:pPr>
        <w:spacing w:after="40"/>
      </w:pPr>
    </w:p>
    <w:p>
      <w:pPr>
        <w:pStyle w:val="Heading2"/>
      </w:pPr>
      <w:r>
        <w:t>Gates de lancement</w:t>
      </w:r>
    </w:p>
    <w:tbl>
      <w:tblPr>
        <w:tblStyle w:val="TableGrid"/>
        <w:tblW w:type="dxa" w:w="9500"/>
        <w:jc w:val="left"/>
        <w:tblLayout w:type="fixed"/>
        <w:tblLook w:firstColumn="1" w:firstRow="1" w:lastColumn="0" w:lastRow="0" w:noHBand="0" w:noVBand="1" w:val="04A0"/>
        <w:tblInd w:w="120" w:type="dxa"/>
      </w:tblPr>
      <w:tblGrid>
        <w:gridCol w:w="2200"/>
        <w:gridCol w:w="7300"/>
      </w:tblGrid>
      <w:tr>
        <w:trPr>
          <w:tblHeader w:val="true"/>
          <w:cantSplit/>
        </w:trPr>
        <w:tc>
          <w:tcPr>
            <w:tcW w:type="dxa" w:w="22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Gate</w:t>
            </w:r>
          </w:p>
        </w:tc>
        <w:tc>
          <w:tcPr>
            <w:tcW w:type="dxa" w:w="7300"/>
            <w:shd w:fill="0D3A28"/>
            <w:vAlign w:val="center"/>
            <w:tcMar>
              <w:top w:w="90" w:type="dxa"/>
              <w:start w:w="120" w:type="dxa"/>
              <w:bottom w:w="90" w:type="dxa"/>
              <w:end w:w="120" w:type="dxa"/>
            </w:tcMar>
          </w:tcPr>
          <w:p>
            <w:pPr>
              <w:spacing w:before="0" w:after="0" w:line="259" w:lineRule="auto"/>
              <w:jc w:val="left"/>
            </w:pPr>
            <w:r/>
            <w:r>
              <w:rPr>
                <w:rFonts w:ascii="Arial" w:hAnsi="Arial" w:eastAsia="Arial"/>
                <w:b/>
                <w:color w:val="FFFFFF"/>
                <w:sz w:val="17"/>
              </w:rPr>
              <w:t>Condition de passage</w:t>
            </w:r>
          </w:p>
        </w:tc>
      </w:tr>
      <w:tr>
        <w:trPr>
          <w:cantSplit/>
        </w:trPr>
        <w:tc>
          <w:tcPr>
            <w:tcW w:type="dxa" w:w="22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R0 — Recherche</w:t>
            </w:r>
          </w:p>
        </w:tc>
        <w:tc>
          <w:tcPr>
            <w:tcW w:type="dxa" w:w="73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Tokenless, interne, aucun fonds réel ni promesse économique</w:t>
            </w:r>
          </w:p>
        </w:tc>
      </w:tr>
      <w:tr>
        <w:trPr>
          <w:cantSplit/>
        </w:trPr>
        <w:tc>
          <w:tcPr>
            <w:tcW w:type="dxa" w:w="22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R1 — Testnet</w:t>
            </w:r>
          </w:p>
        </w:tc>
        <w:tc>
          <w:tcPr>
            <w:tcW w:type="dxa" w:w="73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Périmètre borné, unité sans fonction économique transférable, preuves techniques</w:t>
            </w:r>
          </w:p>
        </w:tc>
      </w:tr>
      <w:tr>
        <w:trPr>
          <w:cantSplit/>
        </w:trPr>
        <w:tc>
          <w:tcPr>
            <w:tcW w:type="dxa" w:w="22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R2 — Qualification</w:t>
            </w:r>
          </w:p>
        </w:tc>
        <w:tc>
          <w:tcPr>
            <w:tcW w:type="dxa" w:w="73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Mémo juridique écrit sur actif, activités, acteurs, territoires et exceptions</w:t>
            </w:r>
          </w:p>
        </w:tc>
      </w:tr>
      <w:tr>
        <w:trPr>
          <w:cantSplit/>
        </w:trPr>
        <w:tc>
          <w:tcPr>
            <w:tcW w:type="dxa" w:w="22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R3 — Responsabilité</w:t>
            </w:r>
          </w:p>
        </w:tc>
        <w:tc>
          <w:tcPr>
            <w:tcW w:type="dxa" w:w="73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Personne morale, gouvernance, propriétaires et assurances analysées</w:t>
            </w:r>
          </w:p>
        </w:tc>
      </w:tr>
      <w:tr>
        <w:trPr>
          <w:cantSplit/>
        </w:trPr>
        <w:tc>
          <w:tcPr>
            <w:tcW w:type="dxa" w:w="22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R4 — Offre / admission</w:t>
            </w:r>
          </w:p>
        </w:tc>
        <w:tc>
          <w:tcPr>
            <w:tcW w:type="dxa" w:w="73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Livre blanc, marketing, notification et publication conformes si déclenchés</w:t>
            </w:r>
          </w:p>
        </w:tc>
      </w:tr>
      <w:tr>
        <w:trPr>
          <w:cantSplit/>
        </w:trPr>
        <w:tc>
          <w:tcPr>
            <w:tcW w:type="dxa" w:w="22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R5 — Services</w:t>
            </w:r>
          </w:p>
        </w:tc>
        <w:tc>
          <w:tcPr>
            <w:tcW w:type="dxa" w:w="73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Autorisation PSCA/CASP obtenue avant tout service si requise</w:t>
            </w:r>
          </w:p>
        </w:tc>
      </w:tr>
      <w:tr>
        <w:trPr>
          <w:cantSplit/>
        </w:trPr>
        <w:tc>
          <w:tcPr>
            <w:tcW w:type="dxa" w:w="22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R6 — Régimes connexes</w:t>
            </w:r>
          </w:p>
        </w:tc>
        <w:tc>
          <w:tcPr>
            <w:tcW w:type="dxa" w:w="73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AML/CFT, sanctions, RGPD, consommation, DORA, fiscalité traités</w:t>
            </w:r>
          </w:p>
        </w:tc>
      </w:tr>
      <w:tr>
        <w:trPr>
          <w:cantSplit/>
        </w:trPr>
        <w:tc>
          <w:tcPr>
            <w:tcW w:type="dxa" w:w="22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R7 — Readiness</w:t>
            </w:r>
          </w:p>
        </w:tc>
        <w:tc>
          <w:tcPr>
            <w:tcW w:type="dxa" w:w="73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Audit, sécurité, exploitation, incidents, plaintes et fournisseurs testés</w:t>
            </w:r>
          </w:p>
        </w:tc>
      </w:tr>
      <w:tr>
        <w:trPr>
          <w:cantSplit/>
        </w:trPr>
        <w:tc>
          <w:tcPr>
            <w:tcW w:type="dxa" w:w="22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R8 — Lancement</w:t>
            </w:r>
          </w:p>
        </w:tc>
        <w:tc>
          <w:tcPr>
            <w:tcW w:type="dxa" w:w="73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Décision signée, conditions closes, surveillance et droit d’arrêt actifs</w:t>
            </w:r>
          </w:p>
        </w:tc>
      </w:tr>
    </w:tbl>
    <w:p>
      <w:pPr>
        <w:spacing w:after="40"/>
      </w:pPr>
    </w:p>
    <w:p>
      <w:pPr>
        <w:spacing w:before="100" w:after="180" w:line="283" w:lineRule="auto"/>
        <w:ind w:left="227" w:right="170"/>
        <w:shd w:fill="EDF3EF"/>
        <w:pBdr>
          <w:left w:val="single" w:sz="18" w:space="8" w:color="155A3E"/>
        </w:pBdr>
      </w:pPr>
      <w:r>
        <w:rPr>
          <w:rFonts w:ascii="Arial" w:hAnsi="Arial" w:eastAsia="Arial"/>
          <w:b/>
          <w:color w:val="155A3E"/>
          <w:sz w:val="16"/>
        </w:rPr>
        <w:t>DÉCISION V1.0</w:t>
        <w:br/>
      </w:r>
      <w:r>
        <w:rPr>
          <w:rFonts w:ascii="Arial" w:hAnsi="Arial" w:eastAsia="Arial"/>
          <w:b w:val="0"/>
          <w:color w:val="162019"/>
          <w:sz w:val="20"/>
        </w:rPr>
        <w:t>R0 est le seul périmètre pleinement autorisé. R1 est limité aux expériences techniques bornées déjà approuvées. R2 à R8 ne sont pas franchis. VERIDIA demeure dormant.</w:t>
      </w:r>
    </w:p>
    <w:p>
      <w:r>
        <w:br w:type="page"/>
      </w:r>
    </w:p>
    <w:p>
      <w:pPr>
        <w:keepNext/>
        <w:spacing w:before="440" w:after="100"/>
      </w:pPr>
      <w:r>
        <w:rPr>
          <w:rFonts w:ascii="Arial" w:hAnsi="Arial" w:eastAsia="Arial"/>
          <w:b/>
          <w:color w:val="C6A15B"/>
          <w:sz w:val="16"/>
        </w:rPr>
        <w:t>CHAPITRE 13</w:t>
      </w:r>
    </w:p>
    <w:p>
      <w:pPr>
        <w:pStyle w:val="Heading1"/>
        <w:pageBreakBefore w:val="0"/>
      </w:pPr>
      <w:r>
        <w:t>Sources officielles</w:t>
      </w:r>
    </w:p>
    <w:p>
      <w:pPr>
        <w:keepNext/>
        <w:spacing w:after="320"/>
      </w:pPr>
      <w:r>
        <w:rPr>
          <w:rFonts w:ascii="Arial" w:hAnsi="Arial" w:eastAsia="Arial"/>
          <w:i/>
          <w:color w:val="66736B"/>
          <w:sz w:val="25"/>
        </w:rPr>
        <w:t>Références consultées le 8 septembre 2026 ; la veille doit être renouvelée avant toute décision.</w:t>
      </w:r>
    </w:p>
    <w:p>
      <w:pPr>
        <w:spacing w:after="100"/>
      </w:pPr>
      <w:r>
        <w:rPr>
          <w:rFonts w:ascii="Arial" w:hAnsi="Arial" w:eastAsia="Arial"/>
          <w:b/>
          <w:color w:val="C6A15B"/>
          <w:sz w:val="18"/>
        </w:rPr>
        <w:t xml:space="preserve">• </w:t>
      </w:r>
      <w:hyperlink r:id="rId19">
        <w:r>
          <w:rPr>
            <w:color w:val="155A3E"/>
            <w:u w:val="single"/>
          </w:rPr>
          <w:t>Règlement (UE) 2023/1114 — texte consolidé MiCA</w:t>
        </w:r>
      </w:hyperlink>
      <w:r>
        <w:rPr>
          <w:rFonts w:ascii="Arial" w:hAnsi="Arial" w:eastAsia="Arial"/>
          <w:color w:val="162019"/>
          <w:sz w:val="17"/>
        </w:rPr>
        <w:t xml:space="preserve"> — EUR-Lex ; texte primaire</w:t>
      </w:r>
    </w:p>
    <w:p>
      <w:pPr>
        <w:spacing w:after="100"/>
      </w:pPr>
      <w:r>
        <w:rPr>
          <w:rFonts w:ascii="Arial" w:hAnsi="Arial" w:eastAsia="Arial"/>
          <w:b/>
          <w:color w:val="C6A15B"/>
          <w:sz w:val="18"/>
        </w:rPr>
        <w:t xml:space="preserve">• </w:t>
      </w:r>
      <w:hyperlink r:id="rId20">
        <w:r>
          <w:rPr>
            <w:color w:val="155A3E"/>
            <w:u w:val="single"/>
          </w:rPr>
          <w:t>ESMA — Markets in Crypto-Assets Regulation (MiCA)</w:t>
        </w:r>
      </w:hyperlink>
      <w:r>
        <w:rPr>
          <w:rFonts w:ascii="Arial" w:hAnsi="Arial" w:eastAsia="Arial"/>
          <w:color w:val="162019"/>
          <w:sz w:val="17"/>
        </w:rPr>
        <w:t xml:space="preserve"> — présentation, registre intérimaire et avertissement sur l’absence d’approbation des livres blancs</w:t>
      </w:r>
    </w:p>
    <w:p>
      <w:pPr>
        <w:spacing w:after="100"/>
      </w:pPr>
      <w:r>
        <w:rPr>
          <w:rFonts w:ascii="Arial" w:hAnsi="Arial" w:eastAsia="Arial"/>
          <w:b/>
          <w:color w:val="C6A15B"/>
          <w:sz w:val="18"/>
        </w:rPr>
        <w:t xml:space="preserve">• </w:t>
      </w:r>
      <w:hyperlink r:id="rId21">
        <w:r>
          <w:rPr>
            <w:color w:val="155A3E"/>
            <w:u w:val="single"/>
          </w:rPr>
          <w:t>ESMA — Interactive Single Rulebook MiCA</w:t>
        </w:r>
      </w:hyperlink>
      <w:r>
        <w:rPr>
          <w:rFonts w:ascii="Arial" w:hAnsi="Arial" w:eastAsia="Arial"/>
          <w:color w:val="162019"/>
          <w:sz w:val="17"/>
        </w:rPr>
        <w:t xml:space="preserve"> — accès par article, dont autorisation et obligations des prestataires</w:t>
      </w:r>
    </w:p>
    <w:p>
      <w:pPr>
        <w:spacing w:after="100"/>
      </w:pPr>
      <w:r>
        <w:rPr>
          <w:rFonts w:ascii="Arial" w:hAnsi="Arial" w:eastAsia="Arial"/>
          <w:b/>
          <w:color w:val="C6A15B"/>
          <w:sz w:val="18"/>
        </w:rPr>
        <w:t xml:space="preserve">• </w:t>
      </w:r>
      <w:hyperlink r:id="rId22">
        <w:r>
          <w:rPr>
            <w:color w:val="155A3E"/>
            <w:u w:val="single"/>
          </w:rPr>
          <w:t>ESMA — Article 15 : responsabilité liée aux informations du livre blanc</w:t>
        </w:r>
      </w:hyperlink>
      <w:r>
        <w:rPr>
          <w:rFonts w:ascii="Arial" w:hAnsi="Arial" w:eastAsia="Arial"/>
          <w:color w:val="162019"/>
          <w:sz w:val="17"/>
        </w:rPr>
        <w:t xml:space="preserve"> — responsabilité pour information incomplète, déloyale, imprécise ou trompeuse</w:t>
      </w:r>
    </w:p>
    <w:p>
      <w:pPr>
        <w:spacing w:after="100"/>
      </w:pPr>
      <w:r>
        <w:rPr>
          <w:rFonts w:ascii="Arial" w:hAnsi="Arial" w:eastAsia="Arial"/>
          <w:b/>
          <w:color w:val="C6A15B"/>
          <w:sz w:val="18"/>
        </w:rPr>
        <w:t xml:space="preserve">• </w:t>
      </w:r>
      <w:hyperlink r:id="rId23">
        <w:r>
          <w:rPr>
            <w:color w:val="155A3E"/>
            <w:u w:val="single"/>
          </w:rPr>
          <w:t>AMF — Dossier thématique MiCA</w:t>
        </w:r>
      </w:hyperlink>
      <w:r>
        <w:rPr>
          <w:rFonts w:ascii="Arial" w:hAnsi="Arial" w:eastAsia="Arial"/>
          <w:color w:val="162019"/>
          <w:sz w:val="17"/>
        </w:rPr>
        <w:t xml:space="preserve"> — cadre français et publications de référence</w:t>
      </w:r>
    </w:p>
    <w:p>
      <w:pPr>
        <w:spacing w:after="100"/>
      </w:pPr>
      <w:r>
        <w:rPr>
          <w:rFonts w:ascii="Arial" w:hAnsi="Arial" w:eastAsia="Arial"/>
          <w:b/>
          <w:color w:val="C6A15B"/>
          <w:sz w:val="18"/>
        </w:rPr>
        <w:t xml:space="preserve">• </w:t>
      </w:r>
      <w:hyperlink r:id="rId24">
        <w:r>
          <w:rPr>
            <w:color w:val="155A3E"/>
            <w:u w:val="single"/>
          </w:rPr>
          <w:t>AMF — Fin de la période transitoire PSAN</w:t>
        </w:r>
      </w:hyperlink>
      <w:r>
        <w:rPr>
          <w:rFonts w:ascii="Arial" w:hAnsi="Arial" w:eastAsia="Arial"/>
          <w:color w:val="162019"/>
          <w:sz w:val="17"/>
        </w:rPr>
        <w:t xml:space="preserve"> — fin au 1er juillet 2026</w:t>
      </w:r>
    </w:p>
    <w:p>
      <w:pPr>
        <w:spacing w:after="100"/>
      </w:pPr>
      <w:r>
        <w:rPr>
          <w:rFonts w:ascii="Arial" w:hAnsi="Arial" w:eastAsia="Arial"/>
          <w:b/>
          <w:color w:val="C6A15B"/>
          <w:sz w:val="18"/>
        </w:rPr>
        <w:t xml:space="preserve">• </w:t>
      </w:r>
      <w:hyperlink r:id="rId25">
        <w:r>
          <w:rPr>
            <w:color w:val="155A3E"/>
            <w:u w:val="single"/>
          </w:rPr>
          <w:t>AMF — Communiqué sur la transition loi PACTE / MiCA</w:t>
        </w:r>
      </w:hyperlink>
      <w:r>
        <w:rPr>
          <w:rFonts w:ascii="Arial" w:hAnsi="Arial" w:eastAsia="Arial"/>
          <w:color w:val="162019"/>
          <w:sz w:val="17"/>
        </w:rPr>
        <w:t xml:space="preserve"> — nécessité d’obtenir l’agrément pour poursuivre les activités concernées</w:t>
      </w:r>
    </w:p>
    <w:p>
      <w:pPr>
        <w:pStyle w:val="Heading2"/>
      </w:pPr>
      <w:r>
        <w:t>Avertissement de méthode</w:t>
      </w:r>
    </w:p>
    <w:p>
      <w:pPr>
        <w:spacing w:after="140" w:line="307" w:lineRule="auto"/>
      </w:pPr>
      <w:r>
        <w:rPr>
          <w:rFonts w:ascii="Arial" w:hAnsi="Arial" w:eastAsia="Arial"/>
          <w:i w:val="0"/>
          <w:color w:val="162019"/>
          <w:sz w:val="20"/>
        </w:rPr>
        <w:t>Les sources ci-dessus soutiennent le cadre général et les dates. Elles ne remplacent pas l’analyse des faits propres à Pacturion. Les normes techniques, orientations, Q&amp;A, positions nationales et textes connexes applicables au jour d’une opération doivent être revérifiés par le responsable conformité et le conseil juridique.</w:t>
      </w:r>
    </w:p>
    <w:p>
      <w:pPr>
        <w:pStyle w:val="Heading2"/>
      </w:pPr>
      <w:r>
        <w:t>Approbation interne</w:t>
      </w:r>
    </w:p>
    <w:tbl>
      <w:tblPr>
        <w:tblStyle w:val="TableGrid"/>
        <w:tblW w:type="dxa" w:w="9500"/>
        <w:jc w:val="left"/>
        <w:tblLayout w:type="fixed"/>
        <w:tblLook w:firstColumn="1" w:firstRow="1" w:lastColumn="0" w:lastRow="0" w:noHBand="0" w:noVBand="1" w:val="04A0"/>
        <w:tblInd w:w="120" w:type="dxa"/>
      </w:tblPr>
      <w:tblGrid>
        <w:gridCol w:w="2500"/>
        <w:gridCol w:w="2300"/>
        <w:gridCol w:w="2900"/>
        <w:gridCol w:w="1800"/>
      </w:tblGrid>
      <w:tr>
        <w:trPr>
          <w:tblHeader w:val="true"/>
          <w:cantSplit/>
        </w:trPr>
        <w:tc>
          <w:tcPr>
            <w:tcW w:type="dxa" w:w="25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Rôle</w:t>
            </w:r>
          </w:p>
        </w:tc>
        <w:tc>
          <w:tcPr>
            <w:tcW w:type="dxa" w:w="23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Nom</w:t>
            </w:r>
          </w:p>
        </w:tc>
        <w:tc>
          <w:tcPr>
            <w:tcW w:type="dxa" w:w="29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Décision / date</w:t>
            </w:r>
          </w:p>
        </w:tc>
        <w:tc>
          <w:tcPr>
            <w:tcW w:type="dxa" w:w="18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Signature</w:t>
            </w:r>
          </w:p>
        </w:tc>
      </w:tr>
      <w:tr>
        <w:trPr>
          <w:cantSplit/>
        </w:trPr>
        <w:tc>
          <w:tcPr>
            <w:tcW w:type="dxa" w:w="25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Direction Pacturion</w:t>
            </w:r>
          </w:p>
        </w:tc>
        <w:tc>
          <w:tcPr>
            <w:tcW w:type="dxa" w:w="23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À RENSEIGNER</w:t>
            </w:r>
          </w:p>
        </w:tc>
        <w:tc>
          <w:tcPr>
            <w:tcW w:type="dxa" w:w="29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À RENSEIGNER</w:t>
            </w:r>
          </w:p>
        </w:tc>
        <w:tc>
          <w:tcPr>
            <w:tcW w:type="dxa" w:w="18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À RENSEIGNER</w:t>
            </w:r>
          </w:p>
        </w:tc>
      </w:tr>
      <w:tr>
        <w:trPr>
          <w:cantSplit/>
        </w:trPr>
        <w:tc>
          <w:tcPr>
            <w:tcW w:type="dxa" w:w="25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Responsable MiCA</w:t>
            </w:r>
          </w:p>
        </w:tc>
        <w:tc>
          <w:tcPr>
            <w:tcW w:type="dxa" w:w="23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À NOMMER</w:t>
            </w:r>
          </w:p>
        </w:tc>
        <w:tc>
          <w:tcPr>
            <w:tcW w:type="dxa" w:w="29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À RENSEIGNER</w:t>
            </w:r>
          </w:p>
        </w:tc>
        <w:tc>
          <w:tcPr>
            <w:tcW w:type="dxa" w:w="18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À RENSEIGNER</w:t>
            </w:r>
          </w:p>
        </w:tc>
      </w:tr>
      <w:tr>
        <w:trPr>
          <w:cantSplit/>
        </w:trPr>
        <w:tc>
          <w:tcPr>
            <w:tcW w:type="dxa" w:w="25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Conseil juridique</w:t>
            </w:r>
          </w:p>
        </w:tc>
        <w:tc>
          <w:tcPr>
            <w:tcW w:type="dxa" w:w="23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À MANDATER</w:t>
            </w:r>
          </w:p>
        </w:tc>
        <w:tc>
          <w:tcPr>
            <w:tcW w:type="dxa" w:w="29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Avis non rendu</w:t>
            </w:r>
          </w:p>
        </w:tc>
        <w:tc>
          <w:tcPr>
            <w:tcW w:type="dxa" w:w="18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w:t>
            </w:r>
          </w:p>
        </w:tc>
      </w:tr>
      <w:tr>
        <w:trPr>
          <w:cantSplit/>
        </w:trPr>
        <w:tc>
          <w:tcPr>
            <w:tcW w:type="dxa" w:w="25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Sécurité / technique</w:t>
            </w:r>
          </w:p>
        </w:tc>
        <w:tc>
          <w:tcPr>
            <w:tcW w:type="dxa" w:w="23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À NOMMER</w:t>
            </w:r>
          </w:p>
        </w:tc>
        <w:tc>
          <w:tcPr>
            <w:tcW w:type="dxa" w:w="29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À RENSEIGNER</w:t>
            </w:r>
          </w:p>
        </w:tc>
        <w:tc>
          <w:tcPr>
            <w:tcW w:type="dxa" w:w="18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À RENSEIGNER</w:t>
            </w:r>
          </w:p>
        </w:tc>
      </w:tr>
    </w:tbl>
    <w:p>
      <w:pPr>
        <w:spacing w:after="40"/>
      </w:pPr>
    </w:p>
    <w:sectPr w:rsidR="00FC693F" w:rsidRPr="0006063C" w:rsidSect="00034616">
      <w:headerReference w:type="default" r:id="rId9"/>
      <w:footerReference w:type="default" r:id="rId10"/>
      <w:pgSz w:w="11906" w:h="16838"/>
      <w:pgMar w:top="1077" w:right="1134" w:bottom="1020" w:left="1134" w:header="567" w:footer="567"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9411" w:val="right"/>
        <w:tab w:pos="9411" w:val="right"/>
      </w:tabs>
      <w:jc w:val="right"/>
    </w:pPr>
    <w:r>
      <w:rPr>
        <w:rFonts w:ascii="Arial" w:hAnsi="Arial" w:eastAsia="Arial"/>
        <w:color w:val="66736B"/>
        <w:sz w:val="14"/>
      </w:rPr>
      <w:t>PACTURION — MICA V1.0</w:t>
    </w:r>
    <w:r>
      <w:rPr>
        <w:rFonts w:ascii="Arial" w:hAnsi="Arial" w:eastAsia="Arial"/>
        <w:b/>
        <w:color w:val="C6A15B"/>
        <w:sz w:val="14"/>
      </w:rPr>
      <w:tab/>
      <w:t xml:space="preserve">DOCUMENT CONTRÔLÉ  •  </w:t>
    </w:r>
    <w:r>
      <w:fldChar w:fldCharType="begin"/>
      <w:instrText xml:space="preserve"> PAGE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Pr>
    <w:r>
      <w:rPr>
        <w:rFonts w:ascii="Arial" w:hAnsi="Arial" w:eastAsia="Arial"/>
        <w:b/>
        <w:color w:val="66736B"/>
        <w:sz w:val="15"/>
      </w:rPr>
      <w:t>PACTURION   |   GOUVERNANCE, CONFORMITÉ ET MICA</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abstractNum w:abstractNumId="9">
    <w:multiLevelType w:val="singleLevel"/>
    <w:lvl w:ilvl="0">
      <w:start w:val="1"/>
      <w:numFmt w:val="bullet"/>
      <w:lvlText w:val="•"/>
      <w:suff w:val="tab"/>
      <w:pPr>
        <w:tabs>
          <w:tab w:val="num" w:pos="540"/>
        </w:tabs>
        <w:ind w:left="540" w:hanging="270"/>
      </w:pPr>
      <w:rPr>
        <w:color w:val="C6A15B"/>
      </w:rPr>
    </w:lvl>
  </w:abstractNum>
  <w:num w:numId="10">
    <w:abstractNumId w:val="9"/>
  </w:num>
  <w:abstractNum w:abstractNumId="10">
    <w:multiLevelType w:val="singleLevel"/>
    <w:lvl w:ilvl="0">
      <w:start w:val="1"/>
      <w:numFmt w:val="decimal"/>
      <w:lvlText w:val="%1."/>
      <w:suff w:val="tab"/>
      <w:pPr>
        <w:tabs>
          <w:tab w:val="num" w:pos="540"/>
        </w:tabs>
        <w:ind w:left="540" w:hanging="270"/>
      </w:pPr>
      <w:rPr>
        <w:color w:val="155A3E"/>
      </w:rPr>
    </w:lvl>
  </w:abstractNum>
  <w:num w:numId="11">
    <w:abstractNumId w:val="10"/>
  </w:num>
  <w:abstractNum w:abstractNumId="11">
    <w:multiLevelType w:val="singleLevel"/>
    <w:lvl w:ilvl="0">
      <w:start w:val="1"/>
      <w:numFmt w:val="decimal"/>
      <w:lvlText w:val="%1."/>
      <w:suff w:val="tab"/>
      <w:pPr>
        <w:tabs>
          <w:tab w:val="num" w:pos="540"/>
        </w:tabs>
        <w:ind w:left="540" w:hanging="270"/>
      </w:pPr>
      <w:rPr>
        <w:color w:val="155A3E"/>
      </w:rPr>
    </w:lvl>
  </w:abstractNum>
  <w:num w:numId="12">
    <w:abstractNumId w:val="11"/>
  </w:num>
  <w:abstractNum w:abstractNumId="12">
    <w:multiLevelType w:val="singleLevel"/>
    <w:lvl w:ilvl="0">
      <w:start w:val="1"/>
      <w:numFmt w:val="decimal"/>
      <w:lvlText w:val="%1."/>
      <w:suff w:val="tab"/>
      <w:pPr>
        <w:tabs>
          <w:tab w:val="num" w:pos="540"/>
        </w:tabs>
        <w:ind w:left="540" w:hanging="270"/>
      </w:pPr>
      <w:rPr>
        <w:color w:val="155A3E"/>
      </w:rPr>
    </w:lvl>
  </w:abstractNum>
  <w:num w:numId="13">
    <w:abstractNumId w:val="12"/>
  </w:num>
  <w:abstractNum w:abstractNumId="13">
    <w:multiLevelType w:val="singleLevel"/>
    <w:lvl w:ilvl="0">
      <w:start w:val="1"/>
      <w:numFmt w:val="decimal"/>
      <w:lvlText w:val="%1."/>
      <w:suff w:val="tab"/>
      <w:pPr>
        <w:tabs>
          <w:tab w:val="num" w:pos="540"/>
        </w:tabs>
        <w:ind w:left="540" w:hanging="270"/>
      </w:pPr>
      <w:rPr>
        <w:color w:val="155A3E"/>
      </w:rPr>
    </w:lvl>
  </w:abstractNum>
  <w:num w:numId="14">
    <w:abstractNumId w:val="13"/>
  </w:num>
  <w:abstractNum w:abstractNumId="14">
    <w:multiLevelType w:val="singleLevel"/>
    <w:lvl w:ilvl="0">
      <w:start w:val="1"/>
      <w:numFmt w:val="decimal"/>
      <w:lvlText w:val="%1."/>
      <w:suff w:val="tab"/>
      <w:pPr>
        <w:tabs>
          <w:tab w:val="num" w:pos="540"/>
        </w:tabs>
        <w:ind w:left="540" w:hanging="270"/>
      </w:pPr>
      <w:rPr>
        <w:color w:val="155A3E"/>
      </w:rPr>
    </w:lvl>
  </w:abstractNum>
  <w:num w:numId="15">
    <w:abstractNumId w:val="14"/>
  </w:num>
  <w:abstractNum w:abstractNumId="15">
    <w:multiLevelType w:val="singleLevel"/>
    <w:lvl w:ilvl="0">
      <w:start w:val="1"/>
      <w:numFmt w:val="bullet"/>
      <w:lvlText w:val="•"/>
      <w:suff w:val="tab"/>
      <w:pPr>
        <w:tabs>
          <w:tab w:val="num" w:pos="540"/>
        </w:tabs>
        <w:ind w:left="540" w:hanging="270"/>
      </w:pPr>
      <w:rPr>
        <w:color w:val="C6A15B"/>
      </w:rPr>
    </w:lvl>
  </w:abstractNum>
  <w:num w:numId="16">
    <w:abstractNumId w:val="15"/>
  </w:num>
  <w:abstractNum w:abstractNumId="16">
    <w:multiLevelType w:val="singleLevel"/>
    <w:lvl w:ilvl="0">
      <w:start w:val="1"/>
      <w:numFmt w:val="bullet"/>
      <w:lvlText w:val="•"/>
      <w:suff w:val="tab"/>
      <w:pPr>
        <w:tabs>
          <w:tab w:val="num" w:pos="540"/>
        </w:tabs>
        <w:ind w:left="540" w:hanging="270"/>
      </w:pPr>
      <w:rPr>
        <w:color w:val="C6A15B"/>
      </w:rPr>
    </w:lvl>
  </w:abstractNum>
  <w:num w:numId="17">
    <w:abstractNumId w:val="16"/>
  </w:num>
  <w:abstractNum w:abstractNumId="17">
    <w:multiLevelType w:val="singleLevel"/>
    <w:lvl w:ilvl="0">
      <w:start w:val="1"/>
      <w:numFmt w:val="bullet"/>
      <w:lvlText w:val="•"/>
      <w:suff w:val="tab"/>
      <w:pPr>
        <w:tabs>
          <w:tab w:val="num" w:pos="540"/>
        </w:tabs>
        <w:ind w:left="540" w:hanging="270"/>
      </w:pPr>
      <w:rPr>
        <w:color w:val="C6A15B"/>
      </w:rPr>
    </w:lvl>
  </w:abstractNum>
  <w:num w:numId="18">
    <w:abstractNumId w:val="17"/>
  </w:num>
  <w:abstractNum w:abstractNumId="18">
    <w:multiLevelType w:val="singleLevel"/>
    <w:lvl w:ilvl="0">
      <w:start w:val="1"/>
      <w:numFmt w:val="bullet"/>
      <w:lvlText w:val="•"/>
      <w:suff w:val="tab"/>
      <w:pPr>
        <w:tabs>
          <w:tab w:val="num" w:pos="540"/>
        </w:tabs>
        <w:ind w:left="540" w:hanging="270"/>
      </w:pPr>
      <w:rPr>
        <w:color w:val="C6A15B"/>
      </w:rPr>
    </w:lvl>
  </w:abstractNum>
  <w:num w:numId="19">
    <w:abstractNumId w:val="18"/>
  </w:num>
  <w:abstractNum w:abstractNumId="19">
    <w:multiLevelType w:val="singleLevel"/>
    <w:lvl w:ilvl="0">
      <w:start w:val="1"/>
      <w:numFmt w:val="bullet"/>
      <w:lvlText w:val="•"/>
      <w:suff w:val="tab"/>
      <w:pPr>
        <w:tabs>
          <w:tab w:val="num" w:pos="540"/>
        </w:tabs>
        <w:ind w:left="540" w:hanging="270"/>
      </w:pPr>
      <w:rPr>
        <w:color w:val="C6A15B"/>
      </w:rPr>
    </w:lvl>
  </w:abstractNum>
  <w:num w:numId="20">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before="0" w:after="140" w:line="307" w:lineRule="auto"/>
    </w:pPr>
    <w:rPr>
      <w:rFonts w:ascii="Arial" w:hAnsi="Arial"/>
      <w:color w:val="162019"/>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60" w:after="200"/>
      <w:outlineLvl w:val="0"/>
    </w:pPr>
    <w:rPr>
      <w:rFonts w:asciiTheme="majorHAnsi" w:eastAsiaTheme="majorEastAsia" w:hAnsiTheme="majorHAnsi" w:cstheme="majorBidi" w:ascii="Arial" w:hAnsi="Arial"/>
      <w:b/>
      <w:bCs/>
      <w:color w:val="06110B"/>
      <w:sz w:val="44"/>
      <w:szCs w:val="28"/>
    </w:rPr>
  </w:style>
  <w:style w:type="paragraph" w:styleId="Heading2">
    <w:name w:val="heading 2"/>
    <w:basedOn w:val="Normal"/>
    <w:next w:val="Normal"/>
    <w:link w:val="Heading2Char"/>
    <w:uiPriority w:val="9"/>
    <w:unhideWhenUsed/>
    <w:qFormat/>
    <w:rsid w:val="00FC693F"/>
    <w:pPr>
      <w:keepNext/>
      <w:keepLines/>
      <w:spacing w:before="280" w:after="140"/>
      <w:outlineLvl w:val="1"/>
    </w:pPr>
    <w:rPr>
      <w:rFonts w:asciiTheme="majorHAnsi" w:eastAsiaTheme="majorEastAsia" w:hAnsiTheme="majorHAnsi" w:cstheme="majorBidi" w:ascii="Arial" w:hAnsi="Arial"/>
      <w:b/>
      <w:bCs/>
      <w:color w:val="0D3A28"/>
      <w:sz w:val="28"/>
      <w:szCs w:val="26"/>
    </w:rPr>
  </w:style>
  <w:style w:type="paragraph" w:styleId="Heading3">
    <w:name w:val="heading 3"/>
    <w:basedOn w:val="Normal"/>
    <w:next w:val="Normal"/>
    <w:link w:val="Heading3Char"/>
    <w:uiPriority w:val="9"/>
    <w:unhideWhenUsed/>
    <w:qFormat/>
    <w:rsid w:val="00FC693F"/>
    <w:pPr>
      <w:keepNext/>
      <w:keepLines/>
      <w:spacing w:before="180" w:after="100"/>
      <w:outlineLvl w:val="2"/>
    </w:pPr>
    <w:rPr>
      <w:rFonts w:asciiTheme="majorHAnsi" w:eastAsiaTheme="majorEastAsia" w:hAnsiTheme="majorHAnsi" w:cstheme="majorBidi" w:ascii="Arial" w:hAnsi="Arial"/>
      <w:b/>
      <w:bCs/>
      <w:color w:val="155A3E"/>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hyperlink" Target="https://eur-lex.europa.eu/eli/reg/2023/1114/oj" TargetMode="External"/><Relationship Id="rId13" Type="http://schemas.openxmlformats.org/officeDocument/2006/relationships/hyperlink" Target="https://docs.openzeppelin.com/contracts/5.x/governance" TargetMode="External"/><Relationship Id="rId14" Type="http://schemas.openxmlformats.org/officeDocument/2006/relationships/hyperlink" Target="https://docs.base.org/base-chain/network-information/" TargetMode="External"/><Relationship Id="rId15" Type="http://schemas.openxmlformats.org/officeDocument/2006/relationships/hyperlink" Target="https://www.amf-france.org/fr/espace-professionnels/fintech/mes-relations-avec-lamf/emission-admission-de-crypto-actifs" TargetMode="External"/><Relationship Id="rId16" Type="http://schemas.openxmlformats.org/officeDocument/2006/relationships/hyperlink" Target="https://eips.ethereum.org/EIPS/eip-20" TargetMode="External"/><Relationship Id="rId17" Type="http://schemas.openxmlformats.org/officeDocument/2006/relationships/hyperlink" Target="https://eips.ethereum.org/EIPS/eip-712" TargetMode="External"/><Relationship Id="rId18" Type="http://schemas.openxmlformats.org/officeDocument/2006/relationships/hyperlink" Target="https://eips.ethereum.org/EIPS/eip-1271" TargetMode="External"/><Relationship Id="rId19" Type="http://schemas.openxmlformats.org/officeDocument/2006/relationships/hyperlink" Target="https://eur-lex.europa.eu/eli/reg/2023/1114/oj/fra" TargetMode="External"/><Relationship Id="rId20" Type="http://schemas.openxmlformats.org/officeDocument/2006/relationships/hyperlink" Target="https://www.esma.europa.eu/esmas-activities/digital-finance-and-innovation/markets-crypto-assets-regulation-mica" TargetMode="External"/><Relationship Id="rId21" Type="http://schemas.openxmlformats.org/officeDocument/2006/relationships/hyperlink" Target="https://www.esma.europa.eu/publications-and-data/interactive-single-rulebook/mica" TargetMode="External"/><Relationship Id="rId22" Type="http://schemas.openxmlformats.org/officeDocument/2006/relationships/hyperlink" Target="https://www.esma.europa.eu/publications-and-data/interactive-single-rulebook/mica/article-15-liability-information-given" TargetMode="External"/><Relationship Id="rId23" Type="http://schemas.openxmlformats.org/officeDocument/2006/relationships/hyperlink" Target="https://www.amf-france.org/fr/actualites-publications/dossiers-thematiques/mica" TargetMode="External"/><Relationship Id="rId24" Type="http://schemas.openxmlformats.org/officeDocument/2006/relationships/hyperlink" Target="https://www.amf-france.org/fr/actualites-publications/actualites/lamf-rappelle-que-la-periode-transitoire-pour-les-psan-pour-continuer-de-fournir-des-services-sur" TargetMode="External"/><Relationship Id="rId25" Type="http://schemas.openxmlformats.org/officeDocument/2006/relationships/hyperlink" Target="https://www.amf-france.org/fr/actualites-publications/communiques/communiques-de-lamf/crypto-actifs-la-fin-de-la-periode-de-transition-entre-la-loi-pacte-et-le-reglement-europeen-mic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Pacturion — Gouvernance, conformité et décision MiCA V1.0</dc:title>
  <dc:subject>Cadre interne de qualification et de décision réglementaire</dc:subject>
  <dc:creator>Pacturion</dc:creator>
  <cp:keywords>Pacturion, VERIDIA, ALPHA, MiCA, gouvernance, conformité</cp:keywords>
  <dc:description>Document de travail contrôlé — ne constitue pas une offre au public.</dc:description>
  <cp:lastModifiedBy/>
  <cp:revision>1</cp:revision>
  <dcterms:created xsi:type="dcterms:W3CDTF">2013-12-23T23:15:00Z</dcterms:created>
  <dcterms:modified xsi:type="dcterms:W3CDTF">2013-12-23T23:15:00Z</dcterms:modified>
  <cp:category/>
</cp:coreProperties>
</file>