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80"/>
        <w:jc w:val="center"/>
      </w:pPr>
      <w:r>
        <w:drawing>
          <wp:inline xmlns:a="http://schemas.openxmlformats.org/drawingml/2006/main" xmlns:pic="http://schemas.openxmlformats.org/drawingml/2006/picture">
            <wp:extent cx="6120000" cy="1036190"/>
            <wp:docPr id="1" name="Picture 1" descr="Bannière Pacturion dorée sur fond sombre" title="Pactur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36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hAnsi="Arial" w:eastAsia="Arial"/>
          <w:b/>
          <w:color w:val="06110B"/>
          <w:sz w:val="45"/>
        </w:rPr>
        <w:t>INDEX DE DATA ROOM</w:t>
      </w:r>
    </w:p>
    <w:p>
      <w:pPr>
        <w:spacing w:after="160"/>
      </w:pPr>
      <w:r>
        <w:rPr>
          <w:rFonts w:ascii="Arial" w:hAnsi="Arial" w:eastAsia="Arial"/>
          <w:color w:val="155A3E"/>
          <w:sz w:val="32"/>
        </w:rPr>
        <w:t>Structure, accès, versions et état de préparation — V1.0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300"/>
        <w:gridCol w:w="2100"/>
        <w:gridCol w:w="3900"/>
        <w:gridCol w:w="2200"/>
      </w:tblGrid>
      <w:tr>
        <w:trPr>
          <w:tblHeader w:val="true"/>
          <w:cantSplit/>
        </w:trPr>
        <w:tc>
          <w:tcPr>
            <w:tcW w:type="dxa" w:w="13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21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DATE</w:t>
            </w:r>
          </w:p>
        </w:tc>
        <w:tc>
          <w:tcPr>
            <w:tcW w:type="dxa" w:w="39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STATUT</w:t>
            </w:r>
          </w:p>
        </w:tc>
        <w:tc>
          <w:tcPr>
            <w:tcW w:type="dxa" w:w="22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PROPRIÉTAIRE</w:t>
            </w:r>
          </w:p>
        </w:tc>
      </w:tr>
      <w:tr>
        <w:trPr>
          <w:cantSplit/>
        </w:trPr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6"/>
              </w:rPr>
              <w:t>1.0</w:t>
            </w:r>
          </w:p>
        </w:tc>
        <w:tc>
          <w:tcPr>
            <w:tcW w:type="dxa" w:w="2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6"/>
              </w:rPr>
              <w:t>8 septembre 2026</w:t>
            </w:r>
          </w:p>
        </w:tc>
        <w:tc>
          <w:tcPr>
            <w:tcW w:type="dxa" w:w="3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6"/>
              </w:rPr>
              <w:t>INDEX OPÉRATIONNEL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6"/>
              </w:rPr>
              <w:t>Pacturion</w:t>
            </w:r>
          </w:p>
        </w:tc>
      </w:tr>
    </w:tbl>
    <w:p>
      <w:pPr>
        <w:spacing w:after="40"/>
      </w:pPr>
    </w:p>
    <w:p>
      <w:pPr>
        <w:spacing w:before="100" w:after="180" w:line="283" w:lineRule="auto"/>
        <w:ind w:left="227" w:right="170"/>
        <w:shd w:fill="EDF3EF"/>
        <w:pBdr>
          <w:left w:val="single" w:sz="18" w:space="8" w:color="155A3E"/>
        </w:pBdr>
      </w:pPr>
      <w:r>
        <w:rPr>
          <w:rFonts w:ascii="Arial" w:hAnsi="Arial" w:eastAsia="Arial"/>
          <w:b/>
          <w:color w:val="155A3E"/>
          <w:sz w:val="16"/>
        </w:rPr>
        <w:t>FINALITÉ</w:t>
        <w:br/>
      </w:r>
      <w:r>
        <w:rPr>
          <w:rFonts w:ascii="Arial" w:hAnsi="Arial" w:eastAsia="Arial"/>
          <w:b w:val="0"/>
          <w:color w:val="162019"/>
          <w:sz w:val="20"/>
        </w:rPr>
        <w:t>Organiser les preuves Pacturion pour un partenaire, un auditeur, un conseil ou une due diligence sans mélanger faits, déclarations et hypothèses.</w:t>
      </w:r>
    </w:p>
    <w:p>
      <w:pPr>
        <w:spacing w:before="100" w:after="180" w:line="283" w:lineRule="auto"/>
        <w:ind w:left="227" w:right="170"/>
        <w:shd w:fill="F6F0E3"/>
        <w:pBdr>
          <w:left w:val="single" w:sz="18" w:space="8" w:color="C6A15B"/>
        </w:pBdr>
      </w:pPr>
      <w:r>
        <w:rPr>
          <w:rFonts w:ascii="Arial" w:hAnsi="Arial" w:eastAsia="Arial"/>
          <w:b/>
          <w:color w:val="C6A15B"/>
          <w:sz w:val="16"/>
        </w:rPr>
        <w:t>LIMITE</w:t>
        <w:br/>
      </w:r>
      <w:r>
        <w:rPr>
          <w:rFonts w:ascii="Arial" w:hAnsi="Arial" w:eastAsia="Arial"/>
          <w:b w:val="0"/>
          <w:color w:val="162019"/>
          <w:sz w:val="20"/>
        </w:rPr>
        <w:t>Une data room bien rangée ne remplace pas les preuves manquantes. Les champs ouverts restent visibles jusqu’à résolution.</w:t>
      </w:r>
    </w:p>
    <w:p>
      <w:r>
        <w:br w:type="page"/>
      </w:r>
    </w:p>
    <w:p>
      <w:pPr>
        <w:keepNext/>
        <w:spacing w:before="440" w:after="100"/>
      </w:pPr>
      <w:r>
        <w:rPr>
          <w:rFonts w:ascii="Arial" w:hAnsi="Arial" w:eastAsia="Arial"/>
          <w:b/>
          <w:color w:val="C6A15B"/>
          <w:sz w:val="16"/>
        </w:rPr>
        <w:t>CHAPITRE 00</w:t>
      </w:r>
    </w:p>
    <w:p>
      <w:pPr>
        <w:pStyle w:val="Heading1"/>
        <w:pageBreakBefore w:val="0"/>
      </w:pPr>
      <w:r>
        <w:t>Règles de la data room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900"/>
      </w:tblGrid>
      <w:tr>
        <w:trPr>
          <w:tblHeader w:val="true"/>
          <w:cantSplit/>
        </w:trPr>
        <w:tc>
          <w:tcPr>
            <w:tcW w:type="dxa" w:w="26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Règle</w:t>
            </w:r>
          </w:p>
        </w:tc>
        <w:tc>
          <w:tcPr>
            <w:tcW w:type="dxa" w:w="69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Application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Source unique</w:t>
            </w:r>
          </w:p>
        </w:tc>
        <w:tc>
          <w:tcPr>
            <w:tcW w:type="dxa" w:w="6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Un document actif par finalité et par version</w:t>
            </w:r>
          </w:p>
        </w:tc>
      </w:tr>
      <w:tr>
        <w:trPr>
          <w:cantSplit/>
        </w:trPr>
        <w:tc>
          <w:tcPr>
            <w:tcW w:type="dxa" w:w="2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Aucun écrasement</w:t>
            </w:r>
          </w:p>
        </w:tc>
        <w:tc>
          <w:tcPr>
            <w:tcW w:type="dxa" w:w="69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Nouvelle version, motif et propriétaire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Preuve avant discours</w:t>
            </w:r>
          </w:p>
        </w:tc>
        <w:tc>
          <w:tcPr>
            <w:tcW w:type="dxa" w:w="6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Fait relié à une source vérifiable</w:t>
            </w:r>
          </w:p>
        </w:tc>
      </w:tr>
      <w:tr>
        <w:trPr>
          <w:cantSplit/>
        </w:trPr>
        <w:tc>
          <w:tcPr>
            <w:tcW w:type="dxa" w:w="2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Accès minimal</w:t>
            </w:r>
          </w:p>
        </w:tc>
        <w:tc>
          <w:tcPr>
            <w:tcW w:type="dxa" w:w="69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Droits par dossier et besoin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Confidentialité</w:t>
            </w:r>
          </w:p>
        </w:tc>
        <w:tc>
          <w:tcPr>
            <w:tcW w:type="dxa" w:w="6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Filigrane/registre d’accès si diffusion externe</w:t>
            </w:r>
          </w:p>
        </w:tc>
      </w:tr>
      <w:tr>
        <w:trPr>
          <w:cantSplit/>
        </w:trPr>
        <w:tc>
          <w:tcPr>
            <w:tcW w:type="dxa" w:w="2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Archivage</w:t>
            </w:r>
          </w:p>
        </w:tc>
        <w:tc>
          <w:tcPr>
            <w:tcW w:type="dxa" w:w="69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Versions remplacées dans /99_Archive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Nommage</w:t>
            </w:r>
          </w:p>
        </w:tc>
        <w:tc>
          <w:tcPr>
            <w:tcW w:type="dxa" w:w="6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Pacturion_Titre_Vx.y_YYYY-MM-DD.ext</w:t>
            </w:r>
          </w:p>
        </w:tc>
      </w:tr>
    </w:tbl>
    <w:p>
      <w:pPr>
        <w:spacing w:after="40"/>
      </w:pPr>
    </w:p>
    <w:p>
      <w:pPr>
        <w:pStyle w:val="Heading2"/>
      </w:pPr>
      <w:r>
        <w:t>Niveaux d’accès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1900"/>
        <w:gridCol w:w="2400"/>
        <w:gridCol w:w="2100"/>
        <w:gridCol w:w="1300"/>
      </w:tblGrid>
      <w:tr>
        <w:trPr>
          <w:tblHeader w:val="true"/>
          <w:cantSplit/>
        </w:trPr>
        <w:tc>
          <w:tcPr>
            <w:tcW w:type="dxa" w:w="18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Niveau</w:t>
            </w:r>
          </w:p>
        </w:tc>
        <w:tc>
          <w:tcPr>
            <w:tcW w:type="dxa" w:w="19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Public</w:t>
            </w:r>
          </w:p>
        </w:tc>
        <w:tc>
          <w:tcPr>
            <w:tcW w:type="dxa" w:w="24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Partenaire qualifié</w:t>
            </w:r>
          </w:p>
        </w:tc>
        <w:tc>
          <w:tcPr>
            <w:tcW w:type="dxa" w:w="21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Auditeur/conseil</w:t>
            </w:r>
          </w:p>
        </w:tc>
        <w:tc>
          <w:tcPr>
            <w:tcW w:type="dxa" w:w="13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Interne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Exemple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One-pager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Protocole personnalisé</w:t>
            </w:r>
          </w:p>
        </w:tc>
        <w:tc>
          <w:tcPr>
            <w:tcW w:type="dxa" w:w="2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Code/preuves sous NDA</w:t>
            </w:r>
          </w:p>
        </w:tc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Clés et incidents actifs</w:t>
            </w:r>
          </w:p>
        </w:tc>
      </w:tr>
      <w:tr>
        <w:trPr>
          <w:cantSplit/>
        </w:trPr>
        <w:tc>
          <w:tcPr>
            <w:tcW w:type="dxa" w:w="1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Droit</w:t>
            </w:r>
          </w:p>
        </w:tc>
        <w:tc>
          <w:tcPr>
            <w:tcW w:type="dxa" w:w="19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Lecture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Lecture bornée</w:t>
            </w:r>
          </w:p>
        </w:tc>
        <w:tc>
          <w:tcPr>
            <w:tcW w:type="dxa" w:w="2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Lecture/téléchargement tracé</w:t>
            </w:r>
          </w:p>
        </w:tc>
        <w:tc>
          <w:tcPr>
            <w:tcW w:type="dxa" w:w="1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Selon rôle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440" w:after="100"/>
      </w:pPr>
      <w:r>
        <w:rPr>
          <w:rFonts w:ascii="Arial" w:hAnsi="Arial" w:eastAsia="Arial"/>
          <w:b/>
          <w:color w:val="C6A15B"/>
          <w:sz w:val="16"/>
        </w:rPr>
        <w:t>CHAPITRE 01</w:t>
      </w:r>
    </w:p>
    <w:p>
      <w:pPr>
        <w:pStyle w:val="Heading1"/>
        <w:pageBreakBefore w:val="0"/>
      </w:pPr>
      <w:r>
        <w:t>Arborescence cible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4800"/>
        <w:gridCol w:w="2400"/>
      </w:tblGrid>
      <w:tr>
        <w:trPr>
          <w:tblHeader w:val="true"/>
          <w:cantSplit/>
        </w:trPr>
        <w:tc>
          <w:tcPr>
            <w:tcW w:type="dxa" w:w="23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Dossier</w:t>
            </w:r>
          </w:p>
        </w:tc>
        <w:tc>
          <w:tcPr>
            <w:tcW w:type="dxa" w:w="48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Contenu</w:t>
            </w:r>
          </w:p>
        </w:tc>
        <w:tc>
          <w:tcPr>
            <w:tcW w:type="dxa" w:w="24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Accès par défaut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00_Index</w:t>
            </w:r>
          </w:p>
        </w:tc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Index, journal versions, demandes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Partenaire</w:t>
            </w:r>
          </w:p>
        </w:tc>
      </w:tr>
      <w:tr>
        <w:trPr>
          <w:cantSplit/>
        </w:trPr>
        <w:tc>
          <w:tcPr>
            <w:tcW w:type="dxa" w:w="2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01_Identite</w:t>
            </w:r>
          </w:p>
        </w:tc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Marque, domaine, entité, gouvernance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Partenaire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02_Strategie_Produit</w:t>
            </w:r>
          </w:p>
        </w:tc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Référence, roadmap, white paper, ALPHA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Partenaire</w:t>
            </w:r>
          </w:p>
        </w:tc>
      </w:tr>
      <w:tr>
        <w:trPr>
          <w:cantSplit/>
        </w:trPr>
        <w:tc>
          <w:tcPr>
            <w:tcW w:type="dxa" w:w="2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03_Architecture_Code</w:t>
            </w:r>
          </w:p>
        </w:tc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Architecture, dépôts, builds, dépendances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Auditeur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04_Validation_Preuves</w:t>
            </w:r>
          </w:p>
        </w:tc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Tests, RC, transactions, rapports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Auditeur</w:t>
            </w:r>
          </w:p>
        </w:tc>
      </w:tr>
      <w:tr>
        <w:trPr>
          <w:cantSplit/>
        </w:trPr>
        <w:tc>
          <w:tcPr>
            <w:tcW w:type="dxa" w:w="2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05_Securite_Operations</w:t>
            </w:r>
          </w:p>
        </w:tc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Sécurité, incidents, runbooks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Auditeur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06_Juridique_Conformite</w:t>
            </w:r>
          </w:p>
        </w:tc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Site, MiCA, RGPD, contrats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Conseil</w:t>
            </w:r>
          </w:p>
        </w:tc>
      </w:tr>
      <w:tr>
        <w:trPr>
          <w:cantSplit/>
        </w:trPr>
        <w:tc>
          <w:tcPr>
            <w:tcW w:type="dxa" w:w="2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07_Pilotes_Marche</w:t>
            </w:r>
          </w:p>
        </w:tc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Recrutement, protocoles, résultats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Partenaire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08_Finance</w:t>
            </w:r>
          </w:p>
        </w:tc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Budget, coûts, scénarios, assurances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Restreint</w:t>
            </w:r>
          </w:p>
        </w:tc>
      </w:tr>
      <w:tr>
        <w:trPr>
          <w:cantSplit/>
        </w:trPr>
        <w:tc>
          <w:tcPr>
            <w:tcW w:type="dxa" w:w="2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09_PI_Licences</w:t>
            </w:r>
          </w:p>
        </w:tc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Marques, droits, OSS, cessions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Conseil</w:t>
            </w:r>
          </w:p>
        </w:tc>
      </w:tr>
      <w:tr>
        <w:trPr>
          <w:cantSplit/>
        </w:trPr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99_Archive</w:t>
            </w:r>
          </w:p>
        </w:tc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Versions remplacées et historiques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Interne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440" w:after="100"/>
      </w:pPr>
      <w:r>
        <w:rPr>
          <w:rFonts w:ascii="Arial" w:hAnsi="Arial" w:eastAsia="Arial"/>
          <w:b/>
          <w:color w:val="C6A15B"/>
          <w:sz w:val="16"/>
        </w:rPr>
        <w:t>CHAPITRE 02</w:t>
      </w:r>
    </w:p>
    <w:p>
      <w:pPr>
        <w:pStyle w:val="Heading1"/>
        <w:pageBreakBefore w:val="0"/>
      </w:pPr>
      <w:r>
        <w:t>Registre documentaire Pacturion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00"/>
        <w:gridCol w:w="1600"/>
        <w:gridCol w:w="3100"/>
      </w:tblGrid>
      <w:tr>
        <w:trPr>
          <w:tblHeader w:val="true"/>
          <w:cantSplit/>
        </w:trPr>
        <w:tc>
          <w:tcPr>
            <w:tcW w:type="dxa" w:w="48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Document</w:t>
            </w:r>
          </w:p>
        </w:tc>
        <w:tc>
          <w:tcPr>
            <w:tcW w:type="dxa" w:w="16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31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État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Document de référence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Contrôlé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Préparation audit externe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Contrôlé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Registre preuves techniques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alimenter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Roadmap 2026–2028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Contrôlé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White Paper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Contrôlé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Spécification ALPHA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Hypothèse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Rapport Phase 3.E Human Pilot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Interne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Rapport Release Candidate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Interne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Dossier sécurité et incidents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Contrôlé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Manuel exploitation et runbooks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Contrôlé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00"/>
        <w:gridCol w:w="1600"/>
        <w:gridCol w:w="3100"/>
      </w:tblGrid>
      <w:tr>
        <w:trPr>
          <w:tblHeader w:val="true"/>
          <w:cantSplit/>
        </w:trPr>
        <w:tc>
          <w:tcPr>
            <w:tcW w:type="dxa" w:w="48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Document</w:t>
            </w:r>
          </w:p>
        </w:tc>
        <w:tc>
          <w:tcPr>
            <w:tcW w:type="dxa" w:w="16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31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État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Gouvernance / conformité / décision MiCA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Décision interne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Pack juridique site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personnaliser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Protocole pilote externe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personnaliser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Pack recrutement partenaire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Prêt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Accord pilote externe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valider juridiquement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Architecture technique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réconcilier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One-pager commercial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Prêt sous réserve contact/site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Pitch deck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Prêt sous réserve site</w:t>
            </w:r>
          </w:p>
        </w:tc>
      </w:tr>
      <w:tr>
        <w:trPr>
          <w:cantSplit/>
        </w:trPr>
        <w:tc>
          <w:tcPr>
            <w:tcW w:type="dxa" w:w="4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Index data room</w:t>
            </w:r>
          </w:p>
        </w:tc>
        <w:tc>
          <w:tcPr>
            <w:tcW w:type="dxa" w:w="1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Présent document</w:t>
            </w:r>
          </w:p>
        </w:tc>
      </w:tr>
      <w:tr>
        <w:trPr>
          <w:cantSplit/>
        </w:trPr>
        <w:tc>
          <w:tcPr>
            <w:tcW w:type="dxa" w:w="4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PI et licences</w:t>
            </w:r>
          </w:p>
        </w:tc>
        <w:tc>
          <w:tcPr>
            <w:tcW w:type="dxa" w:w="1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1.0</w:t>
            </w:r>
          </w:p>
        </w:tc>
        <w:tc>
          <w:tcPr>
            <w:tcW w:type="dxa" w:w="3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alimenter</w:t>
            </w:r>
          </w:p>
        </w:tc>
      </w:tr>
    </w:tbl>
    <w:p>
      <w:pPr>
        <w:spacing w:after="40"/>
      </w:pPr>
    </w:p>
    <w:p>
      <w:pPr>
        <w:pStyle w:val="Heading2"/>
      </w:pPr>
      <w:r>
        <w:t>Statuts normalisés</w:t>
      </w:r>
    </w:p>
    <w:p>
      <w:pPr>
        <w:spacing w:after="140" w:line="307" w:lineRule="auto"/>
      </w:pPr>
      <w:r>
        <w:rPr>
          <w:rFonts w:ascii="Arial" w:hAnsi="Arial" w:eastAsia="Arial"/>
          <w:i w:val="0"/>
          <w:color w:val="162019"/>
          <w:sz w:val="20"/>
        </w:rPr>
        <w:t>Brouillon → À compléter → Contrôlé interne → À valider externe → Approuvé → Remplacé → Archivé. « Contrôlé interne » ne signifie ni audité, ni certifié, ni conforme à une réglementation.</w:t>
      </w:r>
    </w:p>
    <w:p>
      <w:r>
        <w:br w:type="page"/>
      </w:r>
    </w:p>
    <w:p>
      <w:pPr>
        <w:keepNext/>
        <w:spacing w:before="440" w:after="100"/>
      </w:pPr>
      <w:r>
        <w:rPr>
          <w:rFonts w:ascii="Arial" w:hAnsi="Arial" w:eastAsia="Arial"/>
          <w:b/>
          <w:color w:val="C6A15B"/>
          <w:sz w:val="16"/>
        </w:rPr>
        <w:t>CHAPITRE 03</w:t>
      </w:r>
    </w:p>
    <w:p>
      <w:pPr>
        <w:pStyle w:val="Heading1"/>
        <w:pageBreakBefore w:val="0"/>
      </w:pPr>
      <w:r>
        <w:t>Registre de preuves techniques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4700"/>
        <w:gridCol w:w="2200"/>
      </w:tblGrid>
      <w:tr>
        <w:trPr>
          <w:tblHeader w:val="true"/>
          <w:cantSplit/>
        </w:trPr>
        <w:tc>
          <w:tcPr>
            <w:tcW w:type="dxa" w:w="26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Preuve</w:t>
            </w:r>
          </w:p>
        </w:tc>
        <w:tc>
          <w:tcPr>
            <w:tcW w:type="dxa" w:w="47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Identifiant attendu</w:t>
            </w:r>
          </w:p>
        </w:tc>
        <w:tc>
          <w:tcPr>
            <w:tcW w:type="dxa" w:w="22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État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Code source</w:t>
            </w:r>
          </w:p>
        </w:tc>
        <w:tc>
          <w:tcPr>
            <w:tcW w:type="dxa" w:w="4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repo + commit + tag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[À RENSEIGNER]</w:t>
            </w:r>
          </w:p>
        </w:tc>
      </w:tr>
      <w:tr>
        <w:trPr>
          <w:cantSplit/>
        </w:trPr>
        <w:tc>
          <w:tcPr>
            <w:tcW w:type="dxa" w:w="2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Build</w:t>
            </w:r>
          </w:p>
        </w:tc>
        <w:tc>
          <w:tcPr>
            <w:tcW w:type="dxa" w:w="47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toolchain + lockfile + hash</w:t>
            </w:r>
          </w:p>
        </w:tc>
        <w:tc>
          <w:tcPr>
            <w:tcW w:type="dxa" w:w="2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[À RENSEIGNER]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Déploiements</w:t>
            </w:r>
          </w:p>
        </w:tc>
        <w:tc>
          <w:tcPr>
            <w:tcW w:type="dxa" w:w="4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chainId + adresse + tx + bloc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[À RENSEIGNER]</w:t>
            </w:r>
          </w:p>
        </w:tc>
      </w:tr>
      <w:tr>
        <w:trPr>
          <w:cantSplit/>
        </w:trPr>
        <w:tc>
          <w:tcPr>
            <w:tcW w:type="dxa" w:w="2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Bytecodes</w:t>
            </w:r>
          </w:p>
        </w:tc>
        <w:tc>
          <w:tcPr>
            <w:tcW w:type="dxa" w:w="47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runtime/deployed bytecode hash</w:t>
            </w:r>
          </w:p>
        </w:tc>
        <w:tc>
          <w:tcPr>
            <w:tcW w:type="dxa" w:w="2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[À RENSEIGNER]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Rôles</w:t>
            </w:r>
          </w:p>
        </w:tc>
        <w:tc>
          <w:tcPr>
            <w:tcW w:type="dxa" w:w="4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admin/owner/timelock/multisig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[À RENSEIGNER]</w:t>
            </w:r>
          </w:p>
        </w:tc>
      </w:tr>
      <w:tr>
        <w:trPr>
          <w:cantSplit/>
        </w:trPr>
        <w:tc>
          <w:tcPr>
            <w:tcW w:type="dxa" w:w="2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Tests</w:t>
            </w:r>
          </w:p>
        </w:tc>
        <w:tc>
          <w:tcPr>
            <w:tcW w:type="dxa" w:w="47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commande + résultat + horodatage</w:t>
            </w:r>
          </w:p>
        </w:tc>
        <w:tc>
          <w:tcPr>
            <w:tcW w:type="dxa" w:w="2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[À RENSEIGNER]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RC</w:t>
            </w:r>
          </w:p>
        </w:tc>
        <w:tc>
          <w:tcPr>
            <w:tcW w:type="dxa" w:w="4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périmètre + visa + exceptions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PASS interne déclaré</w:t>
            </w:r>
          </w:p>
        </w:tc>
      </w:tr>
      <w:tr>
        <w:trPr>
          <w:cantSplit/>
        </w:trPr>
        <w:tc>
          <w:tcPr>
            <w:tcW w:type="dxa" w:w="2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Audit</w:t>
            </w:r>
          </w:p>
        </w:tc>
        <w:tc>
          <w:tcPr>
            <w:tcW w:type="dxa" w:w="47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rapport signé + remédiations</w:t>
            </w:r>
          </w:p>
        </w:tc>
        <w:tc>
          <w:tcPr>
            <w:tcW w:type="dxa" w:w="2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NON RÉALISÉ</w:t>
            </w:r>
          </w:p>
        </w:tc>
      </w:tr>
    </w:tbl>
    <w:p>
      <w:pPr>
        <w:spacing w:after="40"/>
      </w:pPr>
    </w:p>
    <w:p>
      <w:pPr>
        <w:pStyle w:val="Heading2"/>
      </w:pPr>
      <w:r>
        <w:t>Règle</w:t>
      </w:r>
    </w:p>
    <w:p>
      <w:pPr>
        <w:spacing w:after="140" w:line="307" w:lineRule="auto"/>
      </w:pPr>
      <w:r>
        <w:rPr>
          <w:rFonts w:ascii="Arial" w:hAnsi="Arial" w:eastAsia="Arial"/>
          <w:i w:val="0"/>
          <w:color w:val="162019"/>
          <w:sz w:val="20"/>
        </w:rPr>
        <w:t>Chaque affirmation externe doit pointer vers une preuve ou être explicitement qualifiée de déclaration interne, hypothèse ou élément non vérifié.</w:t>
      </w:r>
    </w:p>
    <w:p>
      <w:r>
        <w:br w:type="page"/>
      </w:r>
    </w:p>
    <w:p>
      <w:pPr>
        <w:keepNext/>
        <w:spacing w:before="440" w:after="100"/>
      </w:pPr>
      <w:r>
        <w:rPr>
          <w:rFonts w:ascii="Arial" w:hAnsi="Arial" w:eastAsia="Arial"/>
          <w:b/>
          <w:color w:val="C6A15B"/>
          <w:sz w:val="16"/>
        </w:rPr>
        <w:t>CHAPITRE 04</w:t>
      </w:r>
    </w:p>
    <w:p>
      <w:pPr>
        <w:pStyle w:val="Heading1"/>
        <w:pageBreakBefore w:val="0"/>
      </w:pPr>
      <w:r>
        <w:t>Registre juridique, données et PI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4300"/>
        <w:gridCol w:w="2400"/>
      </w:tblGrid>
      <w:tr>
        <w:trPr>
          <w:tblHeader w:val="true"/>
          <w:cantSplit/>
        </w:trPr>
        <w:tc>
          <w:tcPr>
            <w:tcW w:type="dxa" w:w="28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Élément</w:t>
            </w:r>
          </w:p>
        </w:tc>
        <w:tc>
          <w:tcPr>
            <w:tcW w:type="dxa" w:w="43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Document/preuve</w:t>
            </w:r>
          </w:p>
        </w:tc>
        <w:tc>
          <w:tcPr>
            <w:tcW w:type="dxa" w:w="24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État</w:t>
            </w:r>
          </w:p>
        </w:tc>
      </w:tr>
      <w:tr>
        <w:trPr>
          <w:cantSplit/>
        </w:trPr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Entité contractante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Kbis/statuts/identité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déterminer</w:t>
            </w:r>
          </w:p>
        </w:tc>
      </w:tr>
      <w:tr>
        <w:trPr>
          <w:cantSplit/>
        </w:trPr>
        <w:tc>
          <w:tcPr>
            <w:tcW w:type="dxa" w:w="2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Marque Pacturion</w:t>
            </w:r>
          </w:p>
        </w:tc>
        <w:tc>
          <w:tcPr>
            <w:tcW w:type="dxa" w:w="4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Recherche + dépôt/numéro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Domaine réservé ; marque à vérifier</w:t>
            </w:r>
          </w:p>
        </w:tc>
      </w:tr>
      <w:tr>
        <w:trPr>
          <w:cantSplit/>
        </w:trPr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Domaine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facture/compte pacturion.com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Réservé — preuve à classer</w:t>
            </w:r>
          </w:p>
        </w:tc>
      </w:tr>
      <w:tr>
        <w:trPr>
          <w:cantSplit/>
        </w:trPr>
        <w:tc>
          <w:tcPr>
            <w:tcW w:type="dxa" w:w="2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Code</w:t>
            </w:r>
          </w:p>
        </w:tc>
        <w:tc>
          <w:tcPr>
            <w:tcW w:type="dxa" w:w="4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auteurs + cessions + commits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consolider</w:t>
            </w:r>
          </w:p>
        </w:tc>
      </w:tr>
      <w:tr>
        <w:trPr>
          <w:cantSplit/>
        </w:trPr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Dépendances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SBOM + licences + notices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générer</w:t>
            </w:r>
          </w:p>
        </w:tc>
      </w:tr>
      <w:tr>
        <w:trPr>
          <w:cantSplit/>
        </w:trPr>
        <w:tc>
          <w:tcPr>
            <w:tcW w:type="dxa" w:w="2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RGPD</w:t>
            </w:r>
          </w:p>
        </w:tc>
        <w:tc>
          <w:tcPr>
            <w:tcW w:type="dxa" w:w="4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registre + annexe pilote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qualifier par cas</w:t>
            </w:r>
          </w:p>
        </w:tc>
      </w:tr>
      <w:tr>
        <w:trPr>
          <w:cantSplit/>
        </w:trPr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MiCA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décision et avis juridique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Token dormant ; avis externe manquant</w:t>
            </w:r>
          </w:p>
        </w:tc>
      </w:tr>
      <w:tr>
        <w:trPr>
          <w:cantSplit/>
        </w:trPr>
        <w:tc>
          <w:tcPr>
            <w:tcW w:type="dxa" w:w="2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Assurance</w:t>
            </w:r>
          </w:p>
        </w:tc>
        <w:tc>
          <w:tcPr>
            <w:tcW w:type="dxa" w:w="4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attestation/périmètre</w:t>
            </w:r>
          </w:p>
        </w:tc>
        <w:tc>
          <w:tcPr>
            <w:tcW w:type="dxa" w:w="2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À déterminer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440" w:after="100"/>
      </w:pPr>
      <w:r>
        <w:rPr>
          <w:rFonts w:ascii="Arial" w:hAnsi="Arial" w:eastAsia="Arial"/>
          <w:b/>
          <w:color w:val="C6A15B"/>
          <w:sz w:val="16"/>
        </w:rPr>
        <w:t>CHAPITRE 05</w:t>
      </w:r>
    </w:p>
    <w:p>
      <w:pPr>
        <w:pStyle w:val="Heading1"/>
        <w:pageBreakBefore w:val="0"/>
      </w:pPr>
      <w:r>
        <w:t>Données commerciales et pilote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3600"/>
        <w:gridCol w:w="3200"/>
      </w:tblGrid>
      <w:tr>
        <w:trPr>
          <w:tblHeader w:val="true"/>
          <w:cantSplit/>
        </w:trPr>
        <w:tc>
          <w:tcPr>
            <w:tcW w:type="dxa" w:w="27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Preuve marché</w:t>
            </w:r>
          </w:p>
        </w:tc>
        <w:tc>
          <w:tcPr>
            <w:tcW w:type="dxa" w:w="36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Format</w:t>
            </w:r>
          </w:p>
        </w:tc>
        <w:tc>
          <w:tcPr>
            <w:tcW w:type="dxa" w:w="32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Seuil utile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Comptes recherchés</w:t>
            </w:r>
          </w:p>
        </w:tc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Liste qualifiée</w:t>
            </w:r>
          </w:p>
        </w:tc>
        <w:tc>
          <w:tcPr>
            <w:tcW w:type="dxa" w:w="3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20 avec contact et workflow</w:t>
            </w:r>
          </w:p>
        </w:tc>
      </w:tr>
      <w:tr>
        <w:trPr>
          <w:cantSplit/>
        </w:trPr>
        <w:tc>
          <w:tcPr>
            <w:tcW w:type="dxa" w:w="27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Approches</w:t>
            </w:r>
          </w:p>
        </w:tc>
        <w:tc>
          <w:tcPr>
            <w:tcW w:type="dxa" w:w="3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Journal daté</w:t>
            </w:r>
          </w:p>
        </w:tc>
        <w:tc>
          <w:tcPr>
            <w:tcW w:type="dxa" w:w="3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10 personnalisées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Découvertes</w:t>
            </w:r>
          </w:p>
        </w:tc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Notes structurées</w:t>
            </w:r>
          </w:p>
        </w:tc>
        <w:tc>
          <w:tcPr>
            <w:tcW w:type="dxa" w:w="3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5 entretiens</w:t>
            </w:r>
          </w:p>
        </w:tc>
      </w:tr>
      <w:tr>
        <w:trPr>
          <w:cantSplit/>
        </w:trPr>
        <w:tc>
          <w:tcPr>
            <w:tcW w:type="dxa" w:w="27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Problème</w:t>
            </w:r>
          </w:p>
        </w:tc>
        <w:tc>
          <w:tcPr>
            <w:tcW w:type="dxa" w:w="3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Cas récent + coût/impact</w:t>
            </w:r>
          </w:p>
        </w:tc>
        <w:tc>
          <w:tcPr>
            <w:tcW w:type="dxa" w:w="3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Convergence sur un workflow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Pilote</w:t>
            </w:r>
          </w:p>
        </w:tc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Accord signé</w:t>
            </w:r>
          </w:p>
        </w:tc>
        <w:tc>
          <w:tcPr>
            <w:tcW w:type="dxa" w:w="3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1 partenaire P1</w:t>
            </w:r>
          </w:p>
        </w:tc>
      </w:tr>
      <w:tr>
        <w:trPr>
          <w:cantSplit/>
        </w:trPr>
        <w:tc>
          <w:tcPr>
            <w:tcW w:type="dxa" w:w="27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Résultats</w:t>
            </w:r>
          </w:p>
        </w:tc>
        <w:tc>
          <w:tcPr>
            <w:tcW w:type="dxa" w:w="36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Rapport externe</w:t>
            </w:r>
          </w:p>
        </w:tc>
        <w:tc>
          <w:tcPr>
            <w:tcW w:type="dxa" w:w="3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GO/PIVOT/NO-GO</w:t>
            </w:r>
          </w:p>
        </w:tc>
      </w:tr>
      <w:tr>
        <w:trPr>
          <w:cantSplit/>
        </w:trPr>
        <w:tc>
          <w:tcPr>
            <w:tcW w:type="dxa" w:w="2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Prix</w:t>
            </w:r>
          </w:p>
        </w:tc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Entretien/lettre d’intention</w:t>
            </w:r>
          </w:p>
        </w:tc>
        <w:tc>
          <w:tcPr>
            <w:tcW w:type="dxa" w:w="3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Aucune hypothèse considérée acquise</w:t>
            </w:r>
          </w:p>
        </w:tc>
      </w:tr>
    </w:tbl>
    <w:p>
      <w:pPr>
        <w:spacing w:after="40"/>
      </w:pPr>
    </w:p>
    <w:p>
      <w:pPr>
        <w:pStyle w:val="Heading2"/>
      </w:pPr>
      <w:r>
        <w:t>No-go</w:t>
      </w:r>
    </w:p>
    <w:p>
      <w:pPr>
        <w:spacing w:after="140" w:line="307" w:lineRule="auto"/>
      </w:pPr>
      <w:r>
        <w:rPr>
          <w:rFonts w:ascii="Arial" w:hAnsi="Arial" w:eastAsia="Arial"/>
          <w:i w:val="0"/>
          <w:color w:val="162019"/>
          <w:sz w:val="20"/>
        </w:rPr>
        <w:t>Ne jamais remplacer une absence de client, de prix ou d’audit par une présentation plus ambitieuse. La data room doit rendre les lacunes visibles.</w:t>
      </w:r>
    </w:p>
    <w:p>
      <w:r>
        <w:br w:type="page"/>
      </w:r>
    </w:p>
    <w:p>
      <w:pPr>
        <w:keepNext/>
        <w:spacing w:before="440" w:after="100"/>
      </w:pPr>
      <w:r>
        <w:rPr>
          <w:rFonts w:ascii="Arial" w:hAnsi="Arial" w:eastAsia="Arial"/>
          <w:b/>
          <w:color w:val="C6A15B"/>
          <w:sz w:val="16"/>
        </w:rPr>
        <w:t>CHAPITRE 06</w:t>
      </w:r>
    </w:p>
    <w:p>
      <w:pPr>
        <w:pStyle w:val="Heading1"/>
        <w:pageBreakBefore w:val="0"/>
      </w:pPr>
      <w:r>
        <w:t>Journal des demandes et due diligence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300"/>
        <w:gridCol w:w="2800"/>
        <w:gridCol w:w="1500"/>
        <w:gridCol w:w="1400"/>
        <w:gridCol w:w="1300"/>
        <w:gridCol w:w="1200"/>
      </w:tblGrid>
      <w:tr>
        <w:trPr>
          <w:tblHeader w:val="true"/>
          <w:cantSplit/>
        </w:trPr>
        <w:tc>
          <w:tcPr>
            <w:tcW w:type="dxa" w:w="13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ID</w:t>
            </w:r>
          </w:p>
        </w:tc>
        <w:tc>
          <w:tcPr>
            <w:tcW w:type="dxa" w:w="28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Demande</w:t>
            </w:r>
          </w:p>
        </w:tc>
        <w:tc>
          <w:tcPr>
            <w:tcW w:type="dxa" w:w="15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Demandeur</w:t>
            </w:r>
          </w:p>
        </w:tc>
        <w:tc>
          <w:tcPr>
            <w:tcW w:type="dxa" w:w="14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Owner</w:t>
            </w:r>
          </w:p>
        </w:tc>
        <w:tc>
          <w:tcPr>
            <w:tcW w:type="dxa" w:w="13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Échéance</w:t>
            </w:r>
          </w:p>
        </w:tc>
        <w:tc>
          <w:tcPr>
            <w:tcW w:type="dxa" w:w="12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Statut</w:t>
            </w:r>
          </w:p>
        </w:tc>
      </w:tr>
      <w:tr>
        <w:trPr>
          <w:cantSplit/>
        </w:trPr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DDR-001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[À RENSEIGNER]</w:t>
            </w:r>
          </w:p>
        </w:tc>
        <w:tc>
          <w:tcPr>
            <w:tcW w:type="dxa" w:w="15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OUVERT</w:t>
            </w:r>
          </w:p>
        </w:tc>
      </w:tr>
      <w:tr>
        <w:trPr>
          <w:cantSplit/>
        </w:trPr>
        <w:tc>
          <w:tcPr>
            <w:tcW w:type="dxa" w:w="1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DDR-002</w:t>
            </w:r>
          </w:p>
        </w:tc>
        <w:tc>
          <w:tcPr>
            <w:tcW w:type="dxa" w:w="2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[À RENSEIGNER]</w:t>
            </w:r>
          </w:p>
        </w:tc>
        <w:tc>
          <w:tcPr>
            <w:tcW w:type="dxa" w:w="15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OUVERT</w:t>
            </w:r>
          </w:p>
        </w:tc>
      </w:tr>
      <w:tr>
        <w:trPr>
          <w:cantSplit/>
        </w:trPr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DDR-003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[À RENSEIGNER]</w:t>
            </w:r>
          </w:p>
        </w:tc>
        <w:tc>
          <w:tcPr>
            <w:tcW w:type="dxa" w:w="15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OUVERT</w:t>
            </w:r>
          </w:p>
        </w:tc>
      </w:tr>
      <w:tr>
        <w:trPr>
          <w:cantSplit/>
        </w:trPr>
        <w:tc>
          <w:tcPr>
            <w:tcW w:type="dxa" w:w="1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DDR-004</w:t>
            </w:r>
          </w:p>
        </w:tc>
        <w:tc>
          <w:tcPr>
            <w:tcW w:type="dxa" w:w="2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[À RENSEIGNER]</w:t>
            </w:r>
          </w:p>
        </w:tc>
        <w:tc>
          <w:tcPr>
            <w:tcW w:type="dxa" w:w="15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OUVERT</w:t>
            </w:r>
          </w:p>
        </w:tc>
      </w:tr>
      <w:tr>
        <w:trPr>
          <w:cantSplit/>
        </w:trPr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DDR-005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[À RENSEIGNER]</w:t>
            </w:r>
          </w:p>
        </w:tc>
        <w:tc>
          <w:tcPr>
            <w:tcW w:type="dxa" w:w="15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OUVERT</w:t>
            </w:r>
          </w:p>
        </w:tc>
      </w:tr>
      <w:tr>
        <w:trPr>
          <w:cantSplit/>
        </w:trPr>
        <w:tc>
          <w:tcPr>
            <w:tcW w:type="dxa" w:w="1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DDR-006</w:t>
            </w:r>
          </w:p>
        </w:tc>
        <w:tc>
          <w:tcPr>
            <w:tcW w:type="dxa" w:w="2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[À RENSEIGNER]</w:t>
            </w:r>
          </w:p>
        </w:tc>
        <w:tc>
          <w:tcPr>
            <w:tcW w:type="dxa" w:w="15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OUVERT</w:t>
            </w:r>
          </w:p>
        </w:tc>
      </w:tr>
    </w:tbl>
    <w:p>
      <w:pPr>
        <w:spacing w:after="40"/>
      </w:pPr>
    </w:p>
    <w:p>
      <w:pPr>
        <w:pStyle w:val="Heading2"/>
      </w:pPr>
      <w:r>
        <w:t>Journal d’accès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1900"/>
        <w:gridCol w:w="2200"/>
        <w:gridCol w:w="1300"/>
        <w:gridCol w:w="1100"/>
        <w:gridCol w:w="1200"/>
      </w:tblGrid>
      <w:tr>
        <w:trPr>
          <w:tblHeader w:val="true"/>
          <w:cantSplit/>
        </w:trPr>
        <w:tc>
          <w:tcPr>
            <w:tcW w:type="dxa" w:w="18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Personne</w:t>
            </w:r>
          </w:p>
        </w:tc>
        <w:tc>
          <w:tcPr>
            <w:tcW w:type="dxa" w:w="19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Organisation</w:t>
            </w:r>
          </w:p>
        </w:tc>
        <w:tc>
          <w:tcPr>
            <w:tcW w:type="dxa" w:w="22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Périmètre</w:t>
            </w:r>
          </w:p>
        </w:tc>
        <w:tc>
          <w:tcPr>
            <w:tcW w:type="dxa" w:w="13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Date</w:t>
            </w:r>
          </w:p>
        </w:tc>
        <w:tc>
          <w:tcPr>
            <w:tcW w:type="dxa" w:w="11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NDA</w:t>
            </w:r>
          </w:p>
        </w:tc>
        <w:tc>
          <w:tcPr>
            <w:tcW w:type="dxa" w:w="12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Retrait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[ORG]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[DOSSIERS]</w:t>
            </w:r>
          </w:p>
        </w:tc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[O/N]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</w:tr>
      <w:tr>
        <w:trPr>
          <w:cantSplit/>
        </w:trPr>
        <w:tc>
          <w:tcPr>
            <w:tcW w:type="dxa" w:w="1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9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[ORG]</w:t>
            </w:r>
          </w:p>
        </w:tc>
        <w:tc>
          <w:tcPr>
            <w:tcW w:type="dxa" w:w="2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[DOSSIERS]</w:t>
            </w:r>
          </w:p>
        </w:tc>
        <w:tc>
          <w:tcPr>
            <w:tcW w:type="dxa" w:w="1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[O/N]</w:t>
            </w:r>
          </w:p>
        </w:tc>
        <w:tc>
          <w:tcPr>
            <w:tcW w:type="dxa" w:w="1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[ORG]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[DOSSIERS]</w:t>
            </w:r>
          </w:p>
        </w:tc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[O/N]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</w:tr>
      <w:tr>
        <w:trPr>
          <w:cantSplit/>
        </w:trPr>
        <w:tc>
          <w:tcPr>
            <w:tcW w:type="dxa" w:w="1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9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[ORG]</w:t>
            </w:r>
          </w:p>
        </w:tc>
        <w:tc>
          <w:tcPr>
            <w:tcW w:type="dxa" w:w="2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[DOSSIERS]</w:t>
            </w:r>
          </w:p>
        </w:tc>
        <w:tc>
          <w:tcPr>
            <w:tcW w:type="dxa" w:w="1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1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[O/N]</w:t>
            </w:r>
          </w:p>
        </w:tc>
        <w:tc>
          <w:tcPr>
            <w:tcW w:type="dxa" w:w="12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[NOM]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[ORG]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[DOSSIERS]</w:t>
            </w:r>
          </w:p>
        </w:tc>
        <w:tc>
          <w:tcPr>
            <w:tcW w:type="dxa" w:w="1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[O/N]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3"/>
              </w:rPr>
              <w:t>[DATE]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440" w:after="100"/>
      </w:pPr>
      <w:r>
        <w:rPr>
          <w:rFonts w:ascii="Arial" w:hAnsi="Arial" w:eastAsia="Arial"/>
          <w:b/>
          <w:color w:val="C6A15B"/>
          <w:sz w:val="16"/>
        </w:rPr>
        <w:t>CHAPITRE 07</w:t>
      </w:r>
    </w:p>
    <w:p>
      <w:pPr>
        <w:pStyle w:val="Heading1"/>
        <w:pageBreakBefore w:val="0"/>
      </w:pPr>
      <w:r>
        <w:t>Plan de complétion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4300"/>
        <w:gridCol w:w="3800"/>
      </w:tblGrid>
      <w:tr>
        <w:trPr>
          <w:tblHeader w:val="true"/>
          <w:cantSplit/>
        </w:trPr>
        <w:tc>
          <w:tcPr>
            <w:tcW w:type="dxa" w:w="14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Priorité</w:t>
            </w:r>
          </w:p>
        </w:tc>
        <w:tc>
          <w:tcPr>
            <w:tcW w:type="dxa" w:w="43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Action</w:t>
            </w:r>
          </w:p>
        </w:tc>
        <w:tc>
          <w:tcPr>
            <w:tcW w:type="dxa" w:w="380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Critère de sortie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P0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Renseigner l’entité ou le porteur habilité</w:t>
            </w:r>
          </w:p>
        </w:tc>
        <w:tc>
          <w:tcPr>
            <w:tcW w:type="dxa" w:w="3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Contrats signables</w:t>
            </w:r>
          </w:p>
        </w:tc>
      </w:tr>
      <w:tr>
        <w:trPr>
          <w:cantSplit/>
        </w:trPr>
        <w:tc>
          <w:tcPr>
            <w:tcW w:type="dxa" w:w="1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P0</w:t>
            </w:r>
          </w:p>
        </w:tc>
        <w:tc>
          <w:tcPr>
            <w:tcW w:type="dxa" w:w="4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Réconcilier Base Sepolia</w:t>
            </w:r>
          </w:p>
        </w:tc>
        <w:tc>
          <w:tcPr>
            <w:tcW w:type="dxa" w:w="3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Adresses/tx/bytecodes vérifiés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P0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Geler commit et build RC</w:t>
            </w:r>
          </w:p>
        </w:tc>
        <w:tc>
          <w:tcPr>
            <w:tcW w:type="dxa" w:w="3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Reproductibilité</w:t>
            </w:r>
          </w:p>
        </w:tc>
      </w:tr>
      <w:tr>
        <w:trPr>
          <w:cantSplit/>
        </w:trPr>
        <w:tc>
          <w:tcPr>
            <w:tcW w:type="dxa" w:w="1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P0</w:t>
            </w:r>
          </w:p>
        </w:tc>
        <w:tc>
          <w:tcPr>
            <w:tcW w:type="dxa" w:w="4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Corriger le site</w:t>
            </w:r>
          </w:p>
        </w:tc>
        <w:tc>
          <w:tcPr>
            <w:tcW w:type="dxa" w:w="3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Accès public et onglets fonctionnels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P1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Générer SBOM et licences</w:t>
            </w:r>
          </w:p>
        </w:tc>
        <w:tc>
          <w:tcPr>
            <w:tcW w:type="dxa" w:w="3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Aucune dépendance inconnue</w:t>
            </w:r>
          </w:p>
        </w:tc>
      </w:tr>
      <w:tr>
        <w:trPr>
          <w:cantSplit/>
        </w:trPr>
        <w:tc>
          <w:tcPr>
            <w:tcW w:type="dxa" w:w="1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P1</w:t>
            </w:r>
          </w:p>
        </w:tc>
        <w:tc>
          <w:tcPr>
            <w:tcW w:type="dxa" w:w="4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Préparer accord pilote</w:t>
            </w:r>
          </w:p>
        </w:tc>
        <w:tc>
          <w:tcPr>
            <w:tcW w:type="dxa" w:w="3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Validation juridique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P1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Constituer la liste de 20 comptes</w:t>
            </w:r>
          </w:p>
        </w:tc>
        <w:tc>
          <w:tcPr>
            <w:tcW w:type="dxa" w:w="3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Contacts et hypothèses</w:t>
            </w:r>
          </w:p>
        </w:tc>
      </w:tr>
      <w:tr>
        <w:trPr>
          <w:cantSplit/>
        </w:trPr>
        <w:tc>
          <w:tcPr>
            <w:tcW w:type="dxa" w:w="14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P2</w:t>
            </w:r>
          </w:p>
        </w:tc>
        <w:tc>
          <w:tcPr>
            <w:tcW w:type="dxa" w:w="43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Audit indépendant</w:t>
            </w:r>
          </w:p>
        </w:tc>
        <w:tc>
          <w:tcPr>
            <w:tcW w:type="dxa" w:w="3800"/>
            <w:shd w:fill="EDF3E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Rapport et remédiations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P3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Traduction anglaise</w:t>
            </w:r>
          </w:p>
        </w:tc>
        <w:tc>
          <w:tcPr>
            <w:tcW w:type="dxa" w:w="3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4"/>
              </w:rPr>
              <w:t>Uniquement avant international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20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  <w:tab w:pos="9411" w:val="right"/>
      </w:tabs>
      <w:jc w:val="right"/>
    </w:pPr>
    <w:r>
      <w:rPr>
        <w:rFonts w:ascii="Arial" w:hAnsi="Arial" w:eastAsia="Arial"/>
        <w:color w:val="66736B"/>
        <w:sz w:val="14"/>
      </w:rPr>
      <w:t>PACTURION — DATA ROOM V1.0</w:t>
    </w:r>
    <w:r>
      <w:rPr>
        <w:rFonts w:ascii="Arial" w:hAnsi="Arial" w:eastAsia="Arial"/>
        <w:b/>
        <w:color w:val="C6A15B"/>
        <w:sz w:val="14"/>
      </w:rPr>
      <w:tab/>
      <w:t xml:space="preserve">DOCUMENT CONTRÔLÉ  •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/>
        <w:color w:val="66736B"/>
        <w:sz w:val="15"/>
      </w:rPr>
      <w:t>PACTURION   |   INDEX DE DATA 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</w:pPr>
      <w:rPr>
        <w:color w:val="C6A15B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4">
    <w:abstractNumId w:val="13"/>
  </w:num>
  <w:abstractNum w:abstractNumId="14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40" w:line="307" w:lineRule="auto"/>
    </w:pPr>
    <w:rPr>
      <w:rFonts w:ascii="Arial" w:hAnsi="Arial"/>
      <w:color w:val="16201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06110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D3A2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155A3E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eur-lex.europa.eu/eli/reg/2023/1114/oj" TargetMode="External"/><Relationship Id="rId13" Type="http://schemas.openxmlformats.org/officeDocument/2006/relationships/hyperlink" Target="https://docs.openzeppelin.com/contracts/5.x/governance" TargetMode="External"/><Relationship Id="rId14" Type="http://schemas.openxmlformats.org/officeDocument/2006/relationships/hyperlink" Target="https://docs.base.org/base-chain/network-information/" TargetMode="External"/><Relationship Id="rId15" Type="http://schemas.openxmlformats.org/officeDocument/2006/relationships/hyperlink" Target="https://www.amf-france.org/fr/espace-professionnels/fintech/mes-relations-avec-lamf/emission-admission-de-crypto-actifs" TargetMode="External"/><Relationship Id="rId16" Type="http://schemas.openxmlformats.org/officeDocument/2006/relationships/hyperlink" Target="https://eips.ethereum.org/EIPS/eip-20" TargetMode="External"/><Relationship Id="rId17" Type="http://schemas.openxmlformats.org/officeDocument/2006/relationships/hyperlink" Target="https://eips.ethereum.org/EIPS/eip-712" TargetMode="External"/><Relationship Id="rId18" Type="http://schemas.openxmlformats.org/officeDocument/2006/relationships/hyperlink" Target="https://eips.ethereum.org/EIPS/eip-12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Pacturion — Index de data room V1.0</dc:title>
  <dc:subject>Documentation Pacturion V1.0</dc:subject>
  <dc:creator>Pacturion</dc:creator>
  <cp:keywords>Pacturion, VERIDIA Protocol, engagements vérifiables, ALPHA, BCS, Base</cp:keywords>
  <dc:description>Document de travail contrôlé — ne constitue pas une offre au public.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