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960"/>
        <w:jc w:val="center"/>
      </w:pPr>
      <w:r>
        <w:drawing>
          <wp:inline xmlns:a="http://schemas.openxmlformats.org/drawingml/2006/main" xmlns:pic="http://schemas.openxmlformats.org/drawingml/2006/picture">
            <wp:extent cx="6120000" cy="1036190"/>
            <wp:docPr id="1" name="Picture 1" descr="Bannière Pacturion avec logo doré sur fond sombre et ligne d’horizon lumineus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80"/>
      </w:pPr>
      <w:r>
        <w:rPr>
          <w:rFonts w:ascii="Arial" w:hAnsi="Arial" w:eastAsia="Arial"/>
          <w:b/>
          <w:color w:val="06110B"/>
          <w:sz w:val="48"/>
        </w:rPr>
        <w:t>MANUEL D’EXPLOITATION ET RUNBOOKS</w:t>
      </w:r>
    </w:p>
    <w:p>
      <w:pPr>
        <w:spacing w:after="160"/>
      </w:pPr>
      <w:r>
        <w:rPr>
          <w:rFonts w:ascii="Arial" w:hAnsi="Arial" w:eastAsia="Arial"/>
          <w:color w:val="155A3E"/>
          <w:sz w:val="34"/>
        </w:rPr>
        <w:t>Procédures opérationnelles V1.0</w:t>
      </w:r>
    </w:p>
    <w:p>
      <w:pPr>
        <w:spacing w:after="400"/>
      </w:pPr>
      <w:r>
        <w:rPr>
          <w:rFonts w:ascii="Arial" w:hAnsi="Arial" w:eastAsia="Arial"/>
          <w:color w:val="162019"/>
          <w:sz w:val="22"/>
        </w:rPr>
        <w:t>Préparer, observer, changer, arrêter, restaurer et prouver sans dépasser le périmètre autorisé.</w:t>
      </w:r>
    </w:p>
    <w:tbl>
      <w:tblPr>
        <w:tblStyle w:val="TableGrid"/>
        <w:tblW w:type="dxa" w:w="9500"/>
        <w:jc w:val="left"/>
        <w:tblLayout w:type="fixed"/>
        <w:tblLook w:firstColumn="1" w:firstRow="1" w:lastColumn="0" w:lastRow="0" w:noHBand="0" w:noVBand="1" w:val="04A0"/>
        <w:tblInd w:w="120" w:type="dxa"/>
      </w:tblPr>
      <w:tblGrid>
        <w:gridCol w:w="1300"/>
        <w:gridCol w:w="2100"/>
        <w:gridCol w:w="3400"/>
        <w:gridCol w:w="27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8 septembre 2026</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CIBLE À TESTER</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Pacturion</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LIMITE DE MATURITÉ</w:t>
        <w:br/>
      </w:r>
      <w:r>
        <w:rPr>
          <w:rFonts w:ascii="Arial" w:hAnsi="Arial" w:eastAsia="Arial"/>
          <w:b w:val="0"/>
          <w:color w:val="162019"/>
          <w:sz w:val="20"/>
        </w:rPr>
        <w:t>Ce manuel décrit la cible d’exploitation. Il ne démontre ni service 24/7, ni reprise testée, ni audit indépendant, ni capacité mainnet. La Release Candidate et la Phase 3.E restent des PASS déclarés dont les preuves complètes ne sont pas annexées.</w:t>
      </w:r>
    </w:p>
    <w:p>
      <w:pPr>
        <w:spacing w:before="480"/>
      </w:pPr>
      <w:r>
        <w:rPr>
          <w:rFonts w:ascii="Arial" w:hAnsi="Arial" w:eastAsia="Arial"/>
          <w:b/>
          <w:color w:val="C6A15B"/>
          <w:sz w:val="22"/>
        </w:rPr>
        <w:t>Aucune action critique sans autorité, critère d’arrêt et preuve.</w:t>
      </w:r>
    </w:p>
    <w:p>
      <w:r>
        <w:br w:type="page"/>
      </w:r>
    </w:p>
    <w:p>
      <w:pPr>
        <w:keepNext/>
        <w:spacing w:before="440" w:after="100"/>
      </w:pPr>
      <w:r>
        <w:rPr>
          <w:rFonts w:ascii="Arial" w:hAnsi="Arial" w:eastAsia="Arial"/>
          <w:b/>
          <w:color w:val="C6A15B"/>
          <w:sz w:val="16"/>
        </w:rPr>
        <w:t>CHAPITRE 00</w:t>
      </w:r>
    </w:p>
    <w:p>
      <w:pPr>
        <w:pStyle w:val="Heading1"/>
        <w:pageBreakBefore w:val="0"/>
      </w:pPr>
      <w:r>
        <w:t>Contrôle du manuel</w:t>
      </w:r>
    </w:p>
    <w:tbl>
      <w:tblPr>
        <w:tblStyle w:val="TableGrid"/>
        <w:tblW w:type="dxa" w:w="9500"/>
        <w:jc w:val="left"/>
        <w:tblLayout w:type="fixed"/>
        <w:tblLook w:firstColumn="1" w:firstRow="1" w:lastColumn="0" w:lastRow="0" w:noHBand="0" w:noVBand="1" w:val="04A0"/>
        <w:tblInd w:w="120" w:type="dxa"/>
      </w:tblPr>
      <w:tblGrid>
        <w:gridCol w:w="2700"/>
        <w:gridCol w:w="6800"/>
      </w:tblGrid>
      <w:tr>
        <w:trPr>
          <w:tblHeader w:val="true"/>
          <w:cantSplit/>
        </w:trPr>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Entité</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Pacturion</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Infrastructure</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VERIDIA Protocol</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Produit</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ALPHA — hypothèse produit interne non validée par le marché</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Environnements</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Local et testnet borné ; Base Sepolia chain ID 84532 lorsque réconcilié</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Mainnet / fonds réels</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INTERDITS à ce stade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Token / activation économique</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Hors exploitation ALPHA ; avis juridique écrit et audit requis avant activation</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Disponibilité</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Aucun SLA client ni permanence 24/7 déclaré</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indépendant</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réalisé</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Propriétaire opérationnel</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NOMMER</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Révision</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Après incident, changement d’architecture, exercice ou modification du périmètre</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CONVENTION</w:t>
        <w:br/>
      </w:r>
      <w:r>
        <w:rPr>
          <w:rFonts w:ascii="Arial" w:hAnsi="Arial" w:eastAsia="Arial"/>
          <w:b w:val="0"/>
          <w:color w:val="162019"/>
          <w:sz w:val="20"/>
        </w:rPr>
        <w:t>À RENSEIGNER = donnée absente ; À TESTER = procédure définie mais non démontrée ; À PROUVER = artefact exigé ; INTERDIT = action hors autorisation actuelle.</w:t>
      </w:r>
    </w:p>
    <w:p>
      <w:pPr>
        <w:pStyle w:val="Heading2"/>
      </w:pPr>
      <w:r>
        <w:t>Table des matières</w:t>
      </w:r>
    </w:p>
    <w:tbl>
      <w:tblPr>
        <w:tblStyle w:val="TableGrid"/>
        <w:tblW w:type="dxa" w:w="9500"/>
        <w:jc w:val="left"/>
        <w:tblLayout w:type="fixed"/>
        <w:tblLook w:firstColumn="1" w:firstRow="1" w:lastColumn="0" w:lastRow="0" w:noHBand="0" w:noVBand="1" w:val="04A0"/>
        <w:tblInd w:w="120" w:type="dxa"/>
      </w:tblPr>
      <w:tblGrid>
        <w:gridCol w:w="1200"/>
        <w:gridCol w:w="83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w:t>
            </w:r>
          </w:p>
        </w:tc>
        <w:tc>
          <w:tcPr>
            <w:tcW w:type="dxa" w:w="8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Section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Doctrine d’exploitation et autorité</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Périmètre, inventaire et prérequis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03</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Rôles, permanences et passation</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04</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Ouverture et fermeture d’une session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05</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Cycle d’exploitation courant</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06</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Surveillance, alertes et escalade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07</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Changements, déploiement et rollback</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08</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Opérations Base Sepolia</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09</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Données, preuves et exports</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10</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Runbooks de service et de chaîne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Runbooks d’intégrité et de sécurité</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Sauvegarde, restauration et reprise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13</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Registres, checklists et approbation</w:t>
            </w:r>
          </w:p>
        </w:tc>
      </w:tr>
    </w:tbl>
    <w:p>
      <w:pPr>
        <w:spacing w:after="40"/>
      </w:pPr>
    </w:p>
    <w:p>
      <w:r>
        <w:br w:type="page"/>
      </w:r>
    </w:p>
    <w:p>
      <w:pPr>
        <w:keepNext/>
        <w:spacing w:before="440" w:after="100"/>
      </w:pPr>
      <w:r>
        <w:rPr>
          <w:rFonts w:ascii="Arial" w:hAnsi="Arial" w:eastAsia="Arial"/>
          <w:b/>
          <w:color w:val="C6A15B"/>
          <w:sz w:val="16"/>
        </w:rPr>
        <w:t>CHAPITRE 01</w:t>
      </w:r>
    </w:p>
    <w:p>
      <w:pPr>
        <w:pStyle w:val="Heading1"/>
        <w:pageBreakBefore w:val="0"/>
      </w:pPr>
      <w:r>
        <w:t>Doctrine d’exploitation et autorité</w:t>
      </w:r>
    </w:p>
    <w:p>
      <w:pPr>
        <w:keepNext/>
        <w:spacing w:after="320"/>
      </w:pPr>
      <w:r>
        <w:rPr>
          <w:rFonts w:ascii="Arial" w:hAnsi="Arial" w:eastAsia="Arial"/>
          <w:i/>
          <w:color w:val="66736B"/>
          <w:sz w:val="25"/>
        </w:rPr>
        <w:t>L’opérateur exécute une décision bornée ; il ne crée pas une vérité a posteriori.</w:t>
      </w:r>
    </w:p>
    <w:p>
      <w:pPr>
        <w:pStyle w:val="Heading2"/>
      </w:pPr>
      <w:r>
        <w:t>Principes obligatoires</w:t>
      </w:r>
    </w:p>
    <w:tbl>
      <w:tblPr>
        <w:tblStyle w:val="TableGrid"/>
        <w:tblW w:type="dxa" w:w="9500"/>
        <w:jc w:val="left"/>
        <w:tblLayout w:type="fixed"/>
        <w:tblLook w:firstColumn="1" w:firstRow="1" w:lastColumn="0" w:lastRow="0" w:noHBand="0" w:noVBand="1" w:val="04A0"/>
        <w:tblInd w:w="120" w:type="dxa"/>
      </w:tblPr>
      <w:tblGrid>
        <w:gridCol w:w="2400"/>
        <w:gridCol w:w="7100"/>
      </w:tblGrid>
      <w:tr>
        <w:trPr>
          <w:tblHeader w:val="true"/>
          <w:cantSplit/>
        </w:trPr>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Principe</w:t>
            </w:r>
          </w:p>
        </w:tc>
        <w:tc>
          <w:tcPr>
            <w:tcW w:type="dxa" w:w="7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Application</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Fail closed</w:t>
            </w:r>
          </w:p>
        </w:tc>
        <w:tc>
          <w:tcPr>
            <w:tcW w:type="dxa" w:w="7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Toute preuve insuffisante ou incohérente conduit à UNDETERMINED et bloque la conséquence terminale</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Idempotence</w:t>
            </w:r>
          </w:p>
        </w:tc>
        <w:tc>
          <w:tcPr>
            <w:tcW w:type="dxa" w:w="7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Une même demande rejouée ne produit pas une seconde conséquence</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canonique</w:t>
            </w:r>
          </w:p>
        </w:tc>
        <w:tc>
          <w:tcPr>
            <w:tcW w:type="dxa" w:w="7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La décision utilise un bloc, une finalité, une version et des sources identifiables</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Réversibilité</w:t>
            </w:r>
          </w:p>
        </w:tc>
        <w:tc>
          <w:tcPr>
            <w:tcW w:type="dxa" w:w="7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 changement prévoit rollback, arrêt sûr ou migration avant exécution</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Moindre privilège</w:t>
            </w:r>
          </w:p>
        </w:tc>
        <w:tc>
          <w:tcPr>
            <w:tcW w:type="dxa" w:w="7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L’opérateur utilise l’identité et le rôle minimum nécessaires</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Traçabilité</w:t>
            </w:r>
          </w:p>
        </w:tc>
        <w:tc>
          <w:tcPr>
            <w:tcW w:type="dxa" w:w="7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Toute action privilégiée possède auteur, heure UTC, raison, résultat et artefact</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Séparation des faits</w:t>
            </w:r>
          </w:p>
        </w:tc>
        <w:tc>
          <w:tcPr>
            <w:tcW w:type="dxa" w:w="7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Résultat observé, hypothèse, décision et preuve sont distingués</w:t>
            </w:r>
          </w:p>
        </w:tc>
      </w:tr>
    </w:tbl>
    <w:p>
      <w:pPr>
        <w:spacing w:after="40"/>
      </w:pPr>
    </w:p>
    <w:p>
      <w:pPr>
        <w:pStyle w:val="Heading2"/>
      </w:pPr>
      <w:r>
        <w:t>Interdictions permanentes de la V1.0</w:t>
      </w:r>
    </w:p>
    <w:p>
      <w:pPr>
        <w:numPr>
          <w:ilvl w:val="0"/>
          <w:numId w:val="16"/>
        </w:numPr>
        <w:spacing w:after="80" w:line="283" w:lineRule="auto"/>
      </w:pPr>
      <w:r>
        <w:rPr>
          <w:rFonts w:ascii="Arial" w:hAnsi="Arial" w:eastAsia="Arial"/>
          <w:color w:val="162019"/>
          <w:sz w:val="20"/>
        </w:rPr>
        <w:t>utiliser le mainnet, des fonds réels ou une fonction économique ;</w:t>
      </w:r>
    </w:p>
    <w:p>
      <w:pPr>
        <w:numPr>
          <w:ilvl w:val="0"/>
          <w:numId w:val="16"/>
        </w:numPr>
        <w:spacing w:after="80" w:line="283" w:lineRule="auto"/>
      </w:pPr>
      <w:r>
        <w:rPr>
          <w:rFonts w:ascii="Arial" w:hAnsi="Arial" w:eastAsia="Arial"/>
          <w:color w:val="162019"/>
          <w:sz w:val="20"/>
        </w:rPr>
        <w:t>distribuer publiquement VERIDIA ou présenter le token comme nécessaire à ALPHA ;</w:t>
      </w:r>
    </w:p>
    <w:p>
      <w:pPr>
        <w:numPr>
          <w:ilvl w:val="0"/>
          <w:numId w:val="16"/>
        </w:numPr>
        <w:spacing w:after="80" w:line="283" w:lineRule="auto"/>
      </w:pPr>
      <w:r>
        <w:rPr>
          <w:rFonts w:ascii="Arial" w:hAnsi="Arial" w:eastAsia="Arial"/>
          <w:color w:val="162019"/>
          <w:sz w:val="20"/>
        </w:rPr>
        <w:t>forcer une classification de faute pour contourner UNDETERMINED ;</w:t>
      </w:r>
    </w:p>
    <w:p>
      <w:pPr>
        <w:numPr>
          <w:ilvl w:val="0"/>
          <w:numId w:val="16"/>
        </w:numPr>
        <w:spacing w:after="80" w:line="283" w:lineRule="auto"/>
      </w:pPr>
      <w:r>
        <w:rPr>
          <w:rFonts w:ascii="Arial" w:hAnsi="Arial" w:eastAsia="Arial"/>
          <w:color w:val="162019"/>
          <w:sz w:val="20"/>
        </w:rPr>
        <w:t>réécrire silencieusement un résultat, une preuve ou un historique d’incident ;</w:t>
      </w:r>
    </w:p>
    <w:p>
      <w:pPr>
        <w:numPr>
          <w:ilvl w:val="0"/>
          <w:numId w:val="16"/>
        </w:numPr>
        <w:spacing w:after="80" w:line="283" w:lineRule="auto"/>
      </w:pPr>
      <w:r>
        <w:rPr>
          <w:rFonts w:ascii="Arial" w:hAnsi="Arial" w:eastAsia="Arial"/>
          <w:color w:val="162019"/>
          <w:sz w:val="20"/>
        </w:rPr>
        <w:t>exécuter un changement critique sans candidate, autorité, rollback et fenêtre de surveillance ;</w:t>
      </w:r>
    </w:p>
    <w:p>
      <w:pPr>
        <w:numPr>
          <w:ilvl w:val="0"/>
          <w:numId w:val="16"/>
        </w:numPr>
        <w:spacing w:after="80" w:line="283" w:lineRule="auto"/>
      </w:pPr>
      <w:r>
        <w:rPr>
          <w:rFonts w:ascii="Arial" w:hAnsi="Arial" w:eastAsia="Arial"/>
          <w:color w:val="162019"/>
          <w:sz w:val="20"/>
        </w:rPr>
        <w:t>présenter un PASS interne comme audit, certification, conformité MiCA ou validation client.</w:t>
      </w:r>
    </w:p>
    <w:p>
      <w:pPr>
        <w:pStyle w:val="Heading2"/>
      </w:pPr>
      <w:r>
        <w:t>Droit d’arrêt</w:t>
      </w:r>
    </w:p>
    <w:p>
      <w:pPr>
        <w:spacing w:after="140" w:line="307" w:lineRule="auto"/>
      </w:pPr>
      <w:r>
        <w:rPr>
          <w:rFonts w:ascii="Arial" w:hAnsi="Arial" w:eastAsia="Arial"/>
          <w:i w:val="0"/>
          <w:color w:val="162019"/>
          <w:sz w:val="20"/>
        </w:rPr>
        <w:t>Tout opérateur doit interrompre une action lorsque l’identité, l’environnement, la candidate, la finalité, les sources, l’autorisation ou le chemin de retour ne sont pas établis. L’arrêt sûr prime sur la continuité apparente.</w:t>
      </w:r>
    </w:p>
    <w:p>
      <w:pPr>
        <w:keepNext/>
        <w:spacing w:before="440" w:after="100"/>
      </w:pPr>
      <w:r>
        <w:rPr>
          <w:rFonts w:ascii="Arial" w:hAnsi="Arial" w:eastAsia="Arial"/>
          <w:b/>
          <w:color w:val="C6A15B"/>
          <w:sz w:val="16"/>
        </w:rPr>
        <w:t>CHAPITRE 02</w:t>
      </w:r>
    </w:p>
    <w:p>
      <w:pPr>
        <w:pStyle w:val="Heading1"/>
        <w:pageBreakBefore w:val="0"/>
      </w:pPr>
      <w:r>
        <w:t>Périmètre, inventaire et prérequis</w:t>
      </w:r>
    </w:p>
    <w:p>
      <w:pPr>
        <w:pStyle w:val="Heading2"/>
      </w:pPr>
      <w:r>
        <w:t>Inventaire minimal avant exploitation</w:t>
      </w:r>
    </w:p>
    <w:tbl>
      <w:tblPr>
        <w:tblStyle w:val="TableGrid"/>
        <w:tblW w:type="dxa" w:w="9500"/>
        <w:jc w:val="left"/>
        <w:tblLayout w:type="fixed"/>
        <w:tblLook w:firstColumn="1" w:firstRow="1" w:lastColumn="0" w:lastRow="0" w:noHBand="0" w:noVBand="1" w:val="04A0"/>
        <w:tblInd w:w="120" w:type="dxa"/>
      </w:tblPr>
      <w:tblGrid>
        <w:gridCol w:w="2000"/>
        <w:gridCol w:w="5200"/>
        <w:gridCol w:w="2300"/>
      </w:tblGrid>
      <w:tr>
        <w:trPr>
          <w:tblHeader w:val="true"/>
          <w:cantSplit/>
        </w:trPr>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Objet</w:t>
            </w:r>
          </w:p>
        </w:tc>
        <w:tc>
          <w:tcPr>
            <w:tcW w:type="dxa" w:w="5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 exigée</w:t>
            </w:r>
          </w:p>
        </w:tc>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 V1.0</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Dépôt et branche</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URL interne, branche protégée et commit candidate</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Build</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Identifiant, checksum, dépendances et méthode reproductible</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Contrats</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Adresse, bytecode, ABI, rôle et statut de vérification</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RÉCONCILIER</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Services</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 version, propriétaire, endpoint et dépendances</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RPC</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Sources, indépendance, limites, région et mécanisme de quorum</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Collecteurs</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Identité, trust domain, clé, portée et révocation</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Stockage</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Schéma, rétention, sauvegarde, chiffrement et restauration</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Alertes</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Règle, seuil, destinataire, délai et test</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bl>
    <w:p>
      <w:pPr>
        <w:spacing w:after="40"/>
      </w:pPr>
    </w:p>
    <w:p>
      <w:pPr>
        <w:pStyle w:val="Heading2"/>
      </w:pPr>
      <w:r>
        <w:t>Gate de démarrage</w:t>
      </w:r>
    </w:p>
    <w:tbl>
      <w:tblPr>
        <w:tblStyle w:val="TableGrid"/>
        <w:tblW w:type="dxa" w:w="9500"/>
        <w:jc w:val="left"/>
        <w:tblLayout w:type="fixed"/>
        <w:tblLook w:firstColumn="1" w:firstRow="1" w:lastColumn="0" w:lastRow="0" w:noHBand="0" w:noVBand="1" w:val="04A0"/>
        <w:tblInd w:w="120" w:type="dxa"/>
      </w:tblPr>
      <w:tblGrid>
        <w:gridCol w:w="2600"/>
        <w:gridCol w:w="69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69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Condition de passage</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Identité</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Compte nominatif ou de service autorisé ; MFA et révocation disponibles</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Environnement</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Nom, chain ID et endpoints confirmés indépendamment</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Commit, build et configuration correspondent à la candidate approuvée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Données</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 secret dans dépôt, logs ou paramètres visibles</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Dépendances</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RPC, indexer, stockage et collecteurs répondent dans les bornes</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Retour</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Arrêt sûr, rollback ou état de reprise identifié</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Observation</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Logs et alertes visibles avant l’action</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GATE NON FRANCHIE</w:t>
        <w:br/>
      </w:r>
      <w:r>
        <w:rPr>
          <w:rFonts w:ascii="Arial" w:hAnsi="Arial" w:eastAsia="Arial"/>
          <w:b w:val="0"/>
          <w:color w:val="162019"/>
          <w:sz w:val="20"/>
        </w:rPr>
        <w:t>Ne pas improviser une valeur manquante. Ouvrir un écart, qualifier l’impact et différer l’opération ou l’exécuter uniquement dans un bac à sable isolé.</w:t>
      </w:r>
    </w:p>
    <w:p>
      <w:r>
        <w:br w:type="page"/>
      </w:r>
    </w:p>
    <w:p>
      <w:pPr>
        <w:keepNext/>
        <w:spacing w:before="440" w:after="100"/>
      </w:pPr>
      <w:r>
        <w:rPr>
          <w:rFonts w:ascii="Arial" w:hAnsi="Arial" w:eastAsia="Arial"/>
          <w:b/>
          <w:color w:val="C6A15B"/>
          <w:sz w:val="16"/>
        </w:rPr>
        <w:t>CHAPITRE 03</w:t>
      </w:r>
    </w:p>
    <w:p>
      <w:pPr>
        <w:pStyle w:val="Heading1"/>
        <w:pageBreakBefore w:val="0"/>
      </w:pPr>
      <w:r>
        <w:t>Rôles, permanences et passation</w:t>
      </w:r>
    </w:p>
    <w:tbl>
      <w:tblPr>
        <w:tblStyle w:val="TableGrid"/>
        <w:tblW w:type="dxa" w:w="9500"/>
        <w:jc w:val="left"/>
        <w:tblLayout w:type="fixed"/>
        <w:tblLook w:firstColumn="1" w:firstRow="1" w:lastColumn="0" w:lastRow="0" w:noHBand="0" w:noVBand="1" w:val="04A0"/>
        <w:tblInd w:w="120" w:type="dxa"/>
      </w:tblPr>
      <w:tblGrid>
        <w:gridCol w:w="2200"/>
        <w:gridCol w:w="5400"/>
        <w:gridCol w:w="19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54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Responsabilité opérationnelle</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Operations owner</w:t>
            </w:r>
          </w:p>
        </w:tc>
        <w:tc>
          <w:tcPr>
            <w:tcW w:type="dxa" w:w="5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Autorise les routines, maintient le manuel et arbitre les écarts</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NOMMER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Opérateur</w:t>
            </w:r>
          </w:p>
        </w:tc>
        <w:tc>
          <w:tcPr>
            <w:tcW w:type="dxa" w:w="5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Exécute la checklist, observe et conserve les preuves</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NOMMER</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Technical lead</w:t>
            </w:r>
          </w:p>
        </w:tc>
        <w:tc>
          <w:tcPr>
            <w:tcW w:type="dxa" w:w="5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Analyse, changement, rollback et restauration</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NOMMER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Security owner</w:t>
            </w:r>
          </w:p>
        </w:tc>
        <w:tc>
          <w:tcPr>
            <w:tcW w:type="dxa" w:w="5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Accès, clés, risques, incidents et décisions de sécurité</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NOMMER</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Incident Commander</w:t>
            </w:r>
          </w:p>
        </w:tc>
        <w:tc>
          <w:tcPr>
            <w:tcW w:type="dxa" w:w="5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Coordonne SEV-1/2, chronologie, autorité et communications</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NOMMER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Evidence custodian</w:t>
            </w:r>
          </w:p>
        </w:tc>
        <w:tc>
          <w:tcPr>
            <w:tcW w:type="dxa" w:w="5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Préserve hashes, copies, accès et chaîne de conservation</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NOMMER</w:t>
            </w:r>
          </w:p>
        </w:tc>
      </w:tr>
    </w:tbl>
    <w:p>
      <w:pPr>
        <w:spacing w:after="40"/>
      </w:pPr>
    </w:p>
    <w:p>
      <w:pPr>
        <w:pStyle w:val="Heading2"/>
      </w:pPr>
      <w:r>
        <w:t>Règles de couverture</w:t>
      </w:r>
    </w:p>
    <w:p>
      <w:pPr>
        <w:numPr>
          <w:ilvl w:val="0"/>
          <w:numId w:val="17"/>
        </w:numPr>
        <w:spacing w:after="80" w:line="283" w:lineRule="auto"/>
      </w:pPr>
      <w:r>
        <w:rPr>
          <w:rFonts w:ascii="Arial" w:hAnsi="Arial" w:eastAsia="Arial"/>
          <w:color w:val="162019"/>
          <w:sz w:val="20"/>
        </w:rPr>
        <w:t>aucune permanence 24/7 ne doit être promise sans personnes, rotation et moyens testés ;</w:t>
      </w:r>
    </w:p>
    <w:p>
      <w:pPr>
        <w:numPr>
          <w:ilvl w:val="0"/>
          <w:numId w:val="17"/>
        </w:numPr>
        <w:spacing w:after="80" w:line="283" w:lineRule="auto"/>
      </w:pPr>
      <w:r>
        <w:rPr>
          <w:rFonts w:ascii="Arial" w:hAnsi="Arial" w:eastAsia="Arial"/>
          <w:color w:val="162019"/>
          <w:sz w:val="20"/>
        </w:rPr>
        <w:t>le cumul de rôles est documenté ; un conflit d’intérêts impose une seconde revue si disponible ;</w:t>
      </w:r>
    </w:p>
    <w:p>
      <w:pPr>
        <w:numPr>
          <w:ilvl w:val="0"/>
          <w:numId w:val="17"/>
        </w:numPr>
        <w:spacing w:after="80" w:line="283" w:lineRule="auto"/>
      </w:pPr>
      <w:r>
        <w:rPr>
          <w:rFonts w:ascii="Arial" w:hAnsi="Arial" w:eastAsia="Arial"/>
          <w:color w:val="162019"/>
          <w:sz w:val="20"/>
        </w:rPr>
        <w:t>les coordonnées d’escalade restent hors version publique et sont testées périodiquement ;</w:t>
      </w:r>
    </w:p>
    <w:p>
      <w:pPr>
        <w:numPr>
          <w:ilvl w:val="0"/>
          <w:numId w:val="17"/>
        </w:numPr>
        <w:spacing w:after="80" w:line="283" w:lineRule="auto"/>
      </w:pPr>
      <w:r>
        <w:rPr>
          <w:rFonts w:ascii="Arial" w:hAnsi="Arial" w:eastAsia="Arial"/>
          <w:color w:val="162019"/>
          <w:sz w:val="20"/>
        </w:rPr>
        <w:t>une absence de répondant déclenche l’arrêt sûr, jamais une extension tacite de pouvoir.</w:t>
      </w:r>
    </w:p>
    <w:p>
      <w:pPr>
        <w:pStyle w:val="Heading2"/>
      </w:pPr>
      <w:r>
        <w:t>Fiche de passation</w:t>
      </w:r>
    </w:p>
    <w:tbl>
      <w:tblPr>
        <w:tblStyle w:val="TableGrid"/>
        <w:tblW w:type="dxa" w:w="9500"/>
        <w:jc w:val="left"/>
        <w:tblLayout w:type="fixed"/>
        <w:tblLook w:firstColumn="1" w:firstRow="1" w:lastColumn="0" w:lastRow="0" w:noHBand="0" w:noVBand="1" w:val="04A0"/>
        <w:tblInd w:w="120" w:type="dxa"/>
      </w:tblPr>
      <w:tblGrid>
        <w:gridCol w:w="2500"/>
        <w:gridCol w:w="70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70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Contenu obligatoire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Fenêtre</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Début/fin UTC et opérateur entrant/sortant</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 active</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Commit, build, configuration et contrats concernés</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Services, files, indexation, blocs/finalité et dépendances</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Alertes</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Ouvertes, acquittées, en observation et faux positifs connus</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Changements</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Exécutés, planifiés, gelés ou en rollback</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Incidents / écarts</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Identifiants, sévérité, owner, prochaine décision</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Preuves</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Liens internes vers journaux, captures, exports et hashes</w:t>
            </w:r>
          </w:p>
        </w:tc>
      </w:tr>
    </w:tbl>
    <w:p>
      <w:pPr>
        <w:spacing w:after="40"/>
      </w:pPr>
    </w:p>
    <w:p>
      <w:pPr>
        <w:keepNext/>
        <w:spacing w:before="440" w:after="100"/>
      </w:pPr>
      <w:r>
        <w:rPr>
          <w:rFonts w:ascii="Arial" w:hAnsi="Arial" w:eastAsia="Arial"/>
          <w:b/>
          <w:color w:val="C6A15B"/>
          <w:sz w:val="16"/>
        </w:rPr>
        <w:t>CHAPITRE 04</w:t>
      </w:r>
    </w:p>
    <w:p>
      <w:pPr>
        <w:pStyle w:val="Heading1"/>
        <w:pageBreakBefore w:val="0"/>
      </w:pPr>
      <w:r>
        <w:t>Ouverture et fermeture d’une session</w:t>
      </w:r>
    </w:p>
    <w:p>
      <w:pPr>
        <w:pStyle w:val="Heading2"/>
      </w:pPr>
      <w:r>
        <w:t>Ouverture</w:t>
      </w:r>
    </w:p>
    <w:p>
      <w:pPr>
        <w:numPr>
          <w:ilvl w:val="0"/>
          <w:numId w:val="18"/>
        </w:numPr>
        <w:spacing w:after="80" w:line="283" w:lineRule="auto"/>
      </w:pPr>
      <w:r>
        <w:rPr>
          <w:rFonts w:ascii="Arial" w:hAnsi="Arial" w:eastAsia="Arial"/>
          <w:color w:val="162019"/>
          <w:sz w:val="20"/>
        </w:rPr>
        <w:t>Créer un identifiant de session et consigner l’heure UTC, l’opérateur et l’objectif.</w:t>
      </w:r>
    </w:p>
    <w:p>
      <w:pPr>
        <w:numPr>
          <w:ilvl w:val="0"/>
          <w:numId w:val="18"/>
        </w:numPr>
        <w:spacing w:after="80" w:line="283" w:lineRule="auto"/>
      </w:pPr>
      <w:r>
        <w:rPr>
          <w:rFonts w:ascii="Arial" w:hAnsi="Arial" w:eastAsia="Arial"/>
          <w:color w:val="162019"/>
          <w:sz w:val="20"/>
        </w:rPr>
        <w:t>Confirmer l’environnement par au moins deux signaux : nom, chain ID 84532 et endpoint attendu pour Base Sepolia.</w:t>
      </w:r>
    </w:p>
    <w:p>
      <w:pPr>
        <w:numPr>
          <w:ilvl w:val="0"/>
          <w:numId w:val="18"/>
        </w:numPr>
        <w:spacing w:after="80" w:line="283" w:lineRule="auto"/>
      </w:pPr>
      <w:r>
        <w:rPr>
          <w:rFonts w:ascii="Arial" w:hAnsi="Arial" w:eastAsia="Arial"/>
          <w:color w:val="162019"/>
          <w:sz w:val="20"/>
        </w:rPr>
        <w:t>Vérifier l’identité active, les rôles et l’absence de privilège inutile.</w:t>
      </w:r>
    </w:p>
    <w:p>
      <w:pPr>
        <w:numPr>
          <w:ilvl w:val="0"/>
          <w:numId w:val="18"/>
        </w:numPr>
        <w:spacing w:after="80" w:line="283" w:lineRule="auto"/>
      </w:pPr>
      <w:r>
        <w:rPr>
          <w:rFonts w:ascii="Arial" w:hAnsi="Arial" w:eastAsia="Arial"/>
          <w:color w:val="162019"/>
          <w:sz w:val="20"/>
        </w:rPr>
        <w:t>Rapprocher commit, build, configuration, adresses et version de politique.</w:t>
      </w:r>
    </w:p>
    <w:p>
      <w:pPr>
        <w:numPr>
          <w:ilvl w:val="0"/>
          <w:numId w:val="18"/>
        </w:numPr>
        <w:spacing w:after="80" w:line="283" w:lineRule="auto"/>
      </w:pPr>
      <w:r>
        <w:rPr>
          <w:rFonts w:ascii="Arial" w:hAnsi="Arial" w:eastAsia="Arial"/>
          <w:color w:val="162019"/>
          <w:sz w:val="20"/>
        </w:rPr>
        <w:t>Contrôler l’état des services, des files, du stockage, de l’indexation et des sources RPC.</w:t>
      </w:r>
    </w:p>
    <w:p>
      <w:pPr>
        <w:numPr>
          <w:ilvl w:val="0"/>
          <w:numId w:val="18"/>
        </w:numPr>
        <w:spacing w:after="80" w:line="283" w:lineRule="auto"/>
      </w:pPr>
      <w:r>
        <w:rPr>
          <w:rFonts w:ascii="Arial" w:hAnsi="Arial" w:eastAsia="Arial"/>
          <w:color w:val="162019"/>
          <w:sz w:val="20"/>
        </w:rPr>
        <w:t>Vérifier la visibilité des logs et effectuer un test d’alerte non destructif lorsque prévu.</w:t>
      </w:r>
    </w:p>
    <w:p>
      <w:pPr>
        <w:numPr>
          <w:ilvl w:val="0"/>
          <w:numId w:val="18"/>
        </w:numPr>
        <w:spacing w:after="80" w:line="283" w:lineRule="auto"/>
      </w:pPr>
      <w:r>
        <w:rPr>
          <w:rFonts w:ascii="Arial" w:hAnsi="Arial" w:eastAsia="Arial"/>
          <w:color w:val="162019"/>
          <w:sz w:val="20"/>
        </w:rPr>
        <w:t>Lister les changements, incidents et risques ouverts avant toute action.</w:t>
      </w:r>
    </w:p>
    <w:p>
      <w:pPr>
        <w:pStyle w:val="Heading2"/>
      </w:pPr>
      <w:r>
        <w:t>Fermeture</w:t>
      </w:r>
    </w:p>
    <w:p>
      <w:pPr>
        <w:numPr>
          <w:ilvl w:val="0"/>
          <w:numId w:val="19"/>
        </w:numPr>
        <w:spacing w:after="80" w:line="283" w:lineRule="auto"/>
      </w:pPr>
      <w:r>
        <w:rPr>
          <w:rFonts w:ascii="Arial" w:hAnsi="Arial" w:eastAsia="Arial"/>
          <w:color w:val="162019"/>
          <w:sz w:val="20"/>
        </w:rPr>
        <w:t>Arrêter ou laisser uniquement les tâches explicitement autorisées.</w:t>
      </w:r>
    </w:p>
    <w:p>
      <w:pPr>
        <w:numPr>
          <w:ilvl w:val="0"/>
          <w:numId w:val="19"/>
        </w:numPr>
        <w:spacing w:after="80" w:line="283" w:lineRule="auto"/>
      </w:pPr>
      <w:r>
        <w:rPr>
          <w:rFonts w:ascii="Arial" w:hAnsi="Arial" w:eastAsia="Arial"/>
          <w:color w:val="162019"/>
          <w:sz w:val="20"/>
        </w:rPr>
        <w:t>Vérifier qu’aucune transaction, file, verrou ou classification terminale ne reste inexpliquée.</w:t>
      </w:r>
    </w:p>
    <w:p>
      <w:pPr>
        <w:numPr>
          <w:ilvl w:val="0"/>
          <w:numId w:val="19"/>
        </w:numPr>
        <w:spacing w:after="80" w:line="283" w:lineRule="auto"/>
      </w:pPr>
      <w:r>
        <w:rPr>
          <w:rFonts w:ascii="Arial" w:hAnsi="Arial" w:eastAsia="Arial"/>
          <w:color w:val="162019"/>
          <w:sz w:val="20"/>
        </w:rPr>
        <w:t>Exporter les journaux et preuves nécessaires, calculer les empreintes et appliquer la rétention.</w:t>
      </w:r>
    </w:p>
    <w:p>
      <w:pPr>
        <w:numPr>
          <w:ilvl w:val="0"/>
          <w:numId w:val="19"/>
        </w:numPr>
        <w:spacing w:after="80" w:line="283" w:lineRule="auto"/>
      </w:pPr>
      <w:r>
        <w:rPr>
          <w:rFonts w:ascii="Arial" w:hAnsi="Arial" w:eastAsia="Arial"/>
          <w:color w:val="162019"/>
          <w:sz w:val="20"/>
        </w:rPr>
        <w:t>Révoquer les accès temporaires, fermer les tunnels et supprimer les secrets éphémères selon procédure.</w:t>
      </w:r>
    </w:p>
    <w:p>
      <w:pPr>
        <w:numPr>
          <w:ilvl w:val="0"/>
          <w:numId w:val="19"/>
        </w:numPr>
        <w:spacing w:after="80" w:line="283" w:lineRule="auto"/>
      </w:pPr>
      <w:r>
        <w:rPr>
          <w:rFonts w:ascii="Arial" w:hAnsi="Arial" w:eastAsia="Arial"/>
          <w:color w:val="162019"/>
          <w:sz w:val="20"/>
        </w:rPr>
        <w:t>Consigner état final, écarts, décisions, suivi et destinataire de la passation.</w:t>
      </w:r>
    </w:p>
    <w:p>
      <w:pPr>
        <w:spacing w:before="100" w:after="180" w:line="283" w:lineRule="auto"/>
        <w:ind w:left="227" w:right="170"/>
        <w:shd w:fill="EDF3EF"/>
        <w:pBdr>
          <w:left w:val="single" w:sz="18" w:space="8" w:color="155A3E"/>
        </w:pBdr>
      </w:pPr>
      <w:r>
        <w:rPr>
          <w:rFonts w:ascii="Arial" w:hAnsi="Arial" w:eastAsia="Arial"/>
          <w:b/>
          <w:color w:val="155A3E"/>
          <w:sz w:val="16"/>
        </w:rPr>
        <w:t>PREUVE MINIMALE</w:t>
        <w:br/>
      </w:r>
      <w:r>
        <w:rPr>
          <w:rFonts w:ascii="Arial" w:hAnsi="Arial" w:eastAsia="Arial"/>
          <w:b w:val="0"/>
          <w:color w:val="162019"/>
          <w:sz w:val="20"/>
        </w:rPr>
        <w:t>Une session n’est pas close par une phrase « RAS ». Elle est close par un état observable, les écarts connus et les artefacts associés.</w:t>
      </w:r>
    </w:p>
    <w:p>
      <w:r>
        <w:br w:type="page"/>
      </w:r>
    </w:p>
    <w:p>
      <w:pPr>
        <w:keepNext/>
        <w:spacing w:before="440" w:after="100"/>
      </w:pPr>
      <w:r>
        <w:rPr>
          <w:rFonts w:ascii="Arial" w:hAnsi="Arial" w:eastAsia="Arial"/>
          <w:b/>
          <w:color w:val="C6A15B"/>
          <w:sz w:val="16"/>
        </w:rPr>
        <w:t>CHAPITRE 05</w:t>
      </w:r>
    </w:p>
    <w:p>
      <w:pPr>
        <w:pStyle w:val="Heading1"/>
        <w:pageBreakBefore w:val="0"/>
      </w:pPr>
      <w:r>
        <w:t>Cycle d’exploitation courant</w:t>
      </w:r>
    </w:p>
    <w:p>
      <w:pPr>
        <w:pStyle w:val="Heading2"/>
      </w:pPr>
      <w:r>
        <w:t>Cadence proposée</w:t>
      </w:r>
    </w:p>
    <w:tbl>
      <w:tblPr>
        <w:tblStyle w:val="TableGrid"/>
        <w:tblW w:type="dxa" w:w="9500"/>
        <w:jc w:val="left"/>
        <w:tblLayout w:type="fixed"/>
        <w:tblLook w:firstColumn="1" w:firstRow="1" w:lastColumn="0" w:lastRow="0" w:noHBand="0" w:noVBand="1" w:val="04A0"/>
        <w:tblInd w:w="120" w:type="dxa"/>
      </w:tblPr>
      <w:tblGrid>
        <w:gridCol w:w="1700"/>
        <w:gridCol w:w="5600"/>
        <w:gridCol w:w="2200"/>
      </w:tblGrid>
      <w:tr>
        <w:trPr>
          <w:tblHeader w:val="true"/>
          <w:cantSplit/>
        </w:trPr>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Fréquence</w:t>
            </w:r>
          </w:p>
        </w:tc>
        <w:tc>
          <w:tcPr>
            <w:tcW w:type="dxa" w:w="5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Contrôles</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Sortie</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chaque session</w:t>
            </w:r>
          </w:p>
        </w:tc>
        <w:tc>
          <w:tcPr>
            <w:tcW w:type="dxa" w:w="5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Identité, version, santé, alertes, files, finalité, écarts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Journal de session</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Après changement</w:t>
            </w:r>
          </w:p>
        </w:tc>
        <w:tc>
          <w:tcPr>
            <w:tcW w:type="dxa" w:w="5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Déploiement, logs, métriques, smoke tests et rollback readiness</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Rapport de fenêtre</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Hebdomadaire</w:t>
            </w:r>
          </w:p>
        </w:tc>
        <w:tc>
          <w:tcPr>
            <w:tcW w:type="dxa" w:w="5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Accès, dépendances, findings, incidents, capacité et preuves manquantes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Revue opérationnelle</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Mensuelle</w:t>
            </w:r>
          </w:p>
        </w:tc>
        <w:tc>
          <w:tcPr>
            <w:tcW w:type="dxa" w:w="5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Restauration, révocation, alertes, inventaire, rétention et risques</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Revue de contrôle</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Avant pilote externe</w:t>
            </w:r>
          </w:p>
        </w:tc>
        <w:tc>
          <w:tcPr>
            <w:tcW w:type="dxa" w:w="5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E2E, sécurité, reprise, support, juridique et audit requis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Go/no-go signé</w:t>
            </w:r>
          </w:p>
        </w:tc>
      </w:tr>
    </w:tbl>
    <w:p>
      <w:pPr>
        <w:spacing w:after="40"/>
      </w:pPr>
    </w:p>
    <w:p>
      <w:pPr>
        <w:pStyle w:val="Heading2"/>
      </w:pPr>
      <w:r>
        <w:t>Contrôles de santé</w:t>
      </w:r>
    </w:p>
    <w:tbl>
      <w:tblPr>
        <w:tblStyle w:val="TableGrid"/>
        <w:tblW w:type="dxa" w:w="9500"/>
        <w:jc w:val="left"/>
        <w:tblLayout w:type="fixed"/>
        <w:tblLook w:firstColumn="1" w:firstRow="1" w:lastColumn="0" w:lastRow="0" w:noHBand="0" w:noVBand="1" w:val="04A0"/>
        <w:tblInd w:w="120" w:type="dxa"/>
      </w:tblPr>
      <w:tblGrid>
        <w:gridCol w:w="2100"/>
        <w:gridCol w:w="5000"/>
        <w:gridCol w:w="24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Domaine</w:t>
            </w:r>
          </w:p>
        </w:tc>
        <w:tc>
          <w:tcPr>
            <w:tcW w:type="dxa" w:w="5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Signal attendu</w:t>
            </w:r>
          </w:p>
        </w:tc>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Échec</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API / service</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Réponse bornée, version exacte et dépendances accessibles</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Dégrader ou arrêter</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Indexer</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Bloc traité, retard borné et état cohérent</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Geler les décisions terminales</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RPC</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Sources convergentes et finalité conforme</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UNDETERMINED / runbook RB-02</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Collecteurs</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Identité valide, nonce frais, signatures et domaine attendu</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Révoquer / isoler</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Persistance</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Écriture, lecture et checkpoint vérifiés</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Arrêt sûr / RB-04</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Preuves</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Hash, provenance, politique et export reproductibles</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Bloquer la clôture</w:t>
            </w:r>
          </w:p>
        </w:tc>
      </w:tr>
    </w:tbl>
    <w:p>
      <w:pPr>
        <w:spacing w:after="40"/>
      </w:pPr>
    </w:p>
    <w:p>
      <w:pPr>
        <w:pStyle w:val="Heading2"/>
      </w:pPr>
      <w:r>
        <w:t>Gestion des écarts</w:t>
      </w:r>
    </w:p>
    <w:p>
      <w:pPr>
        <w:numPr>
          <w:ilvl w:val="0"/>
          <w:numId w:val="20"/>
        </w:numPr>
        <w:spacing w:after="80" w:line="283" w:lineRule="auto"/>
      </w:pPr>
      <w:r>
        <w:rPr>
          <w:rFonts w:ascii="Arial" w:hAnsi="Arial" w:eastAsia="Arial"/>
          <w:color w:val="162019"/>
          <w:sz w:val="20"/>
        </w:rPr>
        <w:t>Créer un identifiant d’écart avec fait observé, heure et périmètre.</w:t>
      </w:r>
    </w:p>
    <w:p>
      <w:pPr>
        <w:numPr>
          <w:ilvl w:val="0"/>
          <w:numId w:val="20"/>
        </w:numPr>
        <w:spacing w:after="80" w:line="283" w:lineRule="auto"/>
      </w:pPr>
      <w:r>
        <w:rPr>
          <w:rFonts w:ascii="Arial" w:hAnsi="Arial" w:eastAsia="Arial"/>
          <w:color w:val="162019"/>
          <w:sz w:val="20"/>
        </w:rPr>
        <w:t>Distinguer incident, finding, dette opérationnelle et donnée manquante.</w:t>
      </w:r>
    </w:p>
    <w:p>
      <w:pPr>
        <w:numPr>
          <w:ilvl w:val="0"/>
          <w:numId w:val="20"/>
        </w:numPr>
        <w:spacing w:after="80" w:line="283" w:lineRule="auto"/>
      </w:pPr>
      <w:r>
        <w:rPr>
          <w:rFonts w:ascii="Arial" w:hAnsi="Arial" w:eastAsia="Arial"/>
          <w:color w:val="162019"/>
          <w:sz w:val="20"/>
        </w:rPr>
        <w:t>Nommer un propriétaire, une échéance et une condition de fermeture.</w:t>
      </w:r>
    </w:p>
    <w:p>
      <w:pPr>
        <w:numPr>
          <w:ilvl w:val="0"/>
          <w:numId w:val="20"/>
        </w:numPr>
        <w:spacing w:after="80" w:line="283" w:lineRule="auto"/>
      </w:pPr>
      <w:r>
        <w:rPr>
          <w:rFonts w:ascii="Arial" w:hAnsi="Arial" w:eastAsia="Arial"/>
          <w:color w:val="162019"/>
          <w:sz w:val="20"/>
        </w:rPr>
        <w:t>Bloquer toute opération dont l’écart invalide la sécurité ou l’explicabilité.</w:t>
      </w:r>
    </w:p>
    <w:p>
      <w:pPr>
        <w:numPr>
          <w:ilvl w:val="0"/>
          <w:numId w:val="20"/>
        </w:numPr>
        <w:spacing w:after="80" w:line="283" w:lineRule="auto"/>
      </w:pPr>
      <w:r>
        <w:rPr>
          <w:rFonts w:ascii="Arial" w:hAnsi="Arial" w:eastAsia="Arial"/>
          <w:color w:val="162019"/>
          <w:sz w:val="20"/>
        </w:rPr>
        <w:t>Fermer uniquement avec preuve avant/après et décision consignée.</w:t>
      </w:r>
    </w:p>
    <w:p>
      <w:pPr>
        <w:keepNext/>
        <w:spacing w:before="440" w:after="100"/>
      </w:pPr>
      <w:r>
        <w:rPr>
          <w:rFonts w:ascii="Arial" w:hAnsi="Arial" w:eastAsia="Arial"/>
          <w:b/>
          <w:color w:val="C6A15B"/>
          <w:sz w:val="16"/>
        </w:rPr>
        <w:t>CHAPITRE 06</w:t>
      </w:r>
    </w:p>
    <w:p>
      <w:pPr>
        <w:pStyle w:val="Heading1"/>
        <w:pageBreakBefore w:val="0"/>
      </w:pPr>
      <w:r>
        <w:t>Surveillance, alertes et escalade</w:t>
      </w:r>
    </w:p>
    <w:p>
      <w:pPr>
        <w:pStyle w:val="Heading2"/>
      </w:pPr>
      <w:r>
        <w:t>Catalogue minimal</w:t>
      </w:r>
    </w:p>
    <w:tbl>
      <w:tblPr>
        <w:tblStyle w:val="TableGrid"/>
        <w:tblW w:type="dxa" w:w="9500"/>
        <w:jc w:val="left"/>
        <w:tblLayout w:type="fixed"/>
        <w:tblLook w:firstColumn="1" w:firstRow="1" w:lastColumn="0" w:lastRow="0" w:noHBand="0" w:noVBand="1" w:val="04A0"/>
        <w:tblInd w:w="120" w:type="dxa"/>
      </w:tblPr>
      <w:tblGrid>
        <w:gridCol w:w="1900"/>
        <w:gridCol w:w="3900"/>
        <w:gridCol w:w="2200"/>
        <w:gridCol w:w="15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Alerte</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Déclencheur</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Action initiale</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ALT-01 Privilège</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Rôle, owner, pauser ou upgrader modifié</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Geler et identifier l’auteur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ALT-02 Preuve</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Signature invalide, nonce rejoué ou trust domain inattendu</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Bloquer la conséquence</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ALT-03 Classification</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PROVIDER_FAULT anormal ou UNDETERMINED élevé</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Échantillonner et comparer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ALT-04 Chaîne</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Divergence RPC, reorg ou finalité dépassée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RB-02</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ALT-05 Persistance</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Échec d’écriture, checkpoint ou restauration</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RB-04</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ALT-06 Secret</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Secret dans dépôt, build, log ou document</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Révoquer et préserver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bl>
    <w:p>
      <w:pPr>
        <w:spacing w:after="40"/>
      </w:pPr>
    </w:p>
    <w:p>
      <w:pPr>
        <w:pStyle w:val="Heading2"/>
      </w:pPr>
      <w:r>
        <w:t>Escalade</w:t>
      </w:r>
    </w:p>
    <w:tbl>
      <w:tblPr>
        <w:tblStyle w:val="TableGrid"/>
        <w:tblW w:type="dxa" w:w="9500"/>
        <w:jc w:val="left"/>
        <w:tblLayout w:type="fixed"/>
        <w:tblLook w:firstColumn="1" w:firstRow="1" w:lastColumn="0" w:lastRow="0" w:noHBand="0" w:noVBand="1" w:val="04A0"/>
        <w:tblInd w:w="120" w:type="dxa"/>
      </w:tblPr>
      <w:tblGrid>
        <w:gridCol w:w="1300"/>
        <w:gridCol w:w="4400"/>
        <w:gridCol w:w="1900"/>
        <w:gridCol w:w="19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Niveau</w:t>
            </w:r>
          </w:p>
        </w:tc>
        <w:tc>
          <w:tcPr>
            <w:tcW w:type="dxa" w:w="4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Condition</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Cible initiale</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Autorité</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SEV-1</w:t>
            </w:r>
          </w:p>
        </w:tc>
        <w:tc>
          <w:tcPr>
            <w:tcW w:type="dxa" w:w="4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Impact critique réel ou imminent</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Immédiate</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Incident Commander</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SEV-2</w:t>
            </w:r>
          </w:p>
        </w:tc>
        <w:tc>
          <w:tcPr>
            <w:tcW w:type="dxa" w:w="4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Impact élevé mais borné ou contenu</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4 h proposée</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Incident Commander / technique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SEV-3</w:t>
            </w:r>
          </w:p>
        </w:tc>
        <w:tc>
          <w:tcPr>
            <w:tcW w:type="dxa" w:w="4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Dégradation modérée sans conséquence critique</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1 jour ouvré proposée</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Operations owner</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SEV-4</w:t>
            </w:r>
          </w:p>
        </w:tc>
        <w:tc>
          <w:tcPr>
            <w:tcW w:type="dxa" w:w="4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Anomalie mineure ou observation</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Backlog suivi</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Operations owner</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PAS DE FAUX SLA</w:t>
        <w:br/>
      </w:r>
      <w:r>
        <w:rPr>
          <w:rFonts w:ascii="Arial" w:hAnsi="Arial" w:eastAsia="Arial"/>
          <w:b w:val="0"/>
          <w:color w:val="162019"/>
          <w:sz w:val="20"/>
        </w:rPr>
        <w:t>Ces cibles sont internes et doivent être validées contre la capacité réelle. Elles ne constituent pas un engagement client.</w:t>
      </w:r>
    </w:p>
    <w:p>
      <w:pPr>
        <w:pStyle w:val="Heading2"/>
      </w:pPr>
      <w:r>
        <w:t>Acquittement d’une alerte</w:t>
      </w:r>
    </w:p>
    <w:p>
      <w:pPr>
        <w:numPr>
          <w:ilvl w:val="0"/>
          <w:numId w:val="21"/>
        </w:numPr>
        <w:spacing w:after="80" w:line="283" w:lineRule="auto"/>
      </w:pPr>
      <w:r>
        <w:rPr>
          <w:rFonts w:ascii="Arial" w:hAnsi="Arial" w:eastAsia="Arial"/>
          <w:color w:val="162019"/>
          <w:sz w:val="20"/>
        </w:rPr>
        <w:t>lier l’alerte à un fait observable et à une session ;</w:t>
      </w:r>
    </w:p>
    <w:p>
      <w:pPr>
        <w:numPr>
          <w:ilvl w:val="0"/>
          <w:numId w:val="21"/>
        </w:numPr>
        <w:spacing w:after="80" w:line="283" w:lineRule="auto"/>
      </w:pPr>
      <w:r>
        <w:rPr>
          <w:rFonts w:ascii="Arial" w:hAnsi="Arial" w:eastAsia="Arial"/>
          <w:color w:val="162019"/>
          <w:sz w:val="20"/>
        </w:rPr>
        <w:t>indiquer qui l’a prise, quand, avec quelle première action ;</w:t>
      </w:r>
    </w:p>
    <w:p>
      <w:pPr>
        <w:numPr>
          <w:ilvl w:val="0"/>
          <w:numId w:val="21"/>
        </w:numPr>
        <w:spacing w:after="80" w:line="283" w:lineRule="auto"/>
      </w:pPr>
      <w:r>
        <w:rPr>
          <w:rFonts w:ascii="Arial" w:hAnsi="Arial" w:eastAsia="Arial"/>
          <w:color w:val="162019"/>
          <w:sz w:val="20"/>
        </w:rPr>
        <w:t>ne jamais fermer une alerte par simple disparition du signal ;</w:t>
      </w:r>
    </w:p>
    <w:p>
      <w:pPr>
        <w:numPr>
          <w:ilvl w:val="0"/>
          <w:numId w:val="21"/>
        </w:numPr>
        <w:spacing w:after="80" w:line="283" w:lineRule="auto"/>
      </w:pPr>
      <w:r>
        <w:rPr>
          <w:rFonts w:ascii="Arial" w:hAnsi="Arial" w:eastAsia="Arial"/>
          <w:color w:val="162019"/>
          <w:sz w:val="20"/>
        </w:rPr>
        <w:t>documenter le faux positif et modifier la règle par le processus de changement.</w:t>
      </w:r>
    </w:p>
    <w:p>
      <w:r>
        <w:br w:type="page"/>
      </w:r>
    </w:p>
    <w:p>
      <w:pPr>
        <w:keepNext/>
        <w:spacing w:before="440" w:after="100"/>
      </w:pPr>
      <w:r>
        <w:rPr>
          <w:rFonts w:ascii="Arial" w:hAnsi="Arial" w:eastAsia="Arial"/>
          <w:b/>
          <w:color w:val="C6A15B"/>
          <w:sz w:val="16"/>
        </w:rPr>
        <w:t>CHAPITRE 07</w:t>
      </w:r>
    </w:p>
    <w:p>
      <w:pPr>
        <w:pStyle w:val="Heading1"/>
        <w:pageBreakBefore w:val="0"/>
      </w:pPr>
      <w:r>
        <w:t>Changements, déploiement et rollback</w:t>
      </w:r>
    </w:p>
    <w:p>
      <w:pPr>
        <w:pStyle w:val="Heading2"/>
      </w:pPr>
      <w:r>
        <w:t>Fiche de changement</w:t>
      </w:r>
    </w:p>
    <w:tbl>
      <w:tblPr>
        <w:tblStyle w:val="TableGrid"/>
        <w:tblW w:type="dxa" w:w="9500"/>
        <w:jc w:val="left"/>
        <w:tblLayout w:type="fixed"/>
        <w:tblLook w:firstColumn="1" w:firstRow="1" w:lastColumn="0" w:lastRow="0" w:noHBand="0" w:noVBand="1" w:val="04A0"/>
        <w:tblInd w:w="120" w:type="dxa"/>
      </w:tblPr>
      <w:tblGrid>
        <w:gridCol w:w="2300"/>
        <w:gridCol w:w="72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7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Exigence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Identifiant</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CHG-XXXX unique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Objet / raison</w:t>
            </w:r>
          </w:p>
        </w:tc>
        <w:tc>
          <w:tcPr>
            <w:tcW w:type="dxa" w:w="7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Résultat attendu et problème traité</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Périmètre</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Services, contrats, configuration, données et dépendances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Candidate</w:t>
            </w:r>
          </w:p>
        </w:tc>
        <w:tc>
          <w:tcPr>
            <w:tcW w:type="dxa" w:w="7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Commit, build, checksum, paramètres et approbation</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Risque</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Scénarios d’échec, impact, détection et compensation</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Fenêtre</w:t>
            </w:r>
          </w:p>
        </w:tc>
        <w:tc>
          <w:tcPr>
            <w:tcW w:type="dxa" w:w="7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Début/fin UTC, opérateur, observateur et gel concurrent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Validation</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Tests avant, smoke tests après et critères de succès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Rollback</w:t>
            </w:r>
          </w:p>
        </w:tc>
        <w:tc>
          <w:tcPr>
            <w:tcW w:type="dxa" w:w="7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Déclencheur, procédure, durée estimée et état restauré</w:t>
            </w:r>
          </w:p>
        </w:tc>
      </w:tr>
    </w:tbl>
    <w:p>
      <w:pPr>
        <w:spacing w:after="40"/>
      </w:pPr>
    </w:p>
    <w:p>
      <w:pPr>
        <w:pStyle w:val="Heading2"/>
      </w:pPr>
      <w:r>
        <w:t>Séquence de déploiement</w:t>
      </w:r>
    </w:p>
    <w:p>
      <w:pPr>
        <w:numPr>
          <w:ilvl w:val="0"/>
          <w:numId w:val="22"/>
        </w:numPr>
        <w:spacing w:after="80" w:line="283" w:lineRule="auto"/>
      </w:pPr>
      <w:r>
        <w:rPr>
          <w:rFonts w:ascii="Arial" w:hAnsi="Arial" w:eastAsia="Arial"/>
          <w:color w:val="162019"/>
          <w:sz w:val="20"/>
        </w:rPr>
        <w:t>Geler la candidate et vérifier que le build provient du commit approuvé.</w:t>
      </w:r>
    </w:p>
    <w:p>
      <w:pPr>
        <w:numPr>
          <w:ilvl w:val="0"/>
          <w:numId w:val="22"/>
        </w:numPr>
        <w:spacing w:after="80" w:line="283" w:lineRule="auto"/>
      </w:pPr>
      <w:r>
        <w:rPr>
          <w:rFonts w:ascii="Arial" w:hAnsi="Arial" w:eastAsia="Arial"/>
          <w:color w:val="162019"/>
          <w:sz w:val="20"/>
        </w:rPr>
        <w:t>Capturer l’état avant changement : versions, rôles, blocs, files, métriques et checkpoints.</w:t>
      </w:r>
    </w:p>
    <w:p>
      <w:pPr>
        <w:numPr>
          <w:ilvl w:val="0"/>
          <w:numId w:val="22"/>
        </w:numPr>
        <w:spacing w:after="80" w:line="283" w:lineRule="auto"/>
      </w:pPr>
      <w:r>
        <w:rPr>
          <w:rFonts w:ascii="Arial" w:hAnsi="Arial" w:eastAsia="Arial"/>
          <w:color w:val="162019"/>
          <w:sz w:val="20"/>
        </w:rPr>
        <w:t>Confirmer la fenêtre, les responsabilités, les communications et le chemin de rollback.</w:t>
      </w:r>
    </w:p>
    <w:p>
      <w:pPr>
        <w:numPr>
          <w:ilvl w:val="0"/>
          <w:numId w:val="22"/>
        </w:numPr>
        <w:spacing w:after="80" w:line="283" w:lineRule="auto"/>
      </w:pPr>
      <w:r>
        <w:rPr>
          <w:rFonts w:ascii="Arial" w:hAnsi="Arial" w:eastAsia="Arial"/>
          <w:color w:val="162019"/>
          <w:sz w:val="20"/>
        </w:rPr>
        <w:t>Exécuter les étapes pré-écrites sans introduire de commande ou paramètre improvisé.</w:t>
      </w:r>
    </w:p>
    <w:p>
      <w:pPr>
        <w:numPr>
          <w:ilvl w:val="0"/>
          <w:numId w:val="22"/>
        </w:numPr>
        <w:spacing w:after="80" w:line="283" w:lineRule="auto"/>
      </w:pPr>
      <w:r>
        <w:rPr>
          <w:rFonts w:ascii="Arial" w:hAnsi="Arial" w:eastAsia="Arial"/>
          <w:color w:val="162019"/>
          <w:sz w:val="20"/>
        </w:rPr>
        <w:t>Vérifier chaque résultat intermédiaire et arrêter au premier écart non expliqué.</w:t>
      </w:r>
    </w:p>
    <w:p>
      <w:pPr>
        <w:numPr>
          <w:ilvl w:val="0"/>
          <w:numId w:val="22"/>
        </w:numPr>
        <w:spacing w:after="80" w:line="283" w:lineRule="auto"/>
      </w:pPr>
      <w:r>
        <w:rPr>
          <w:rFonts w:ascii="Arial" w:hAnsi="Arial" w:eastAsia="Arial"/>
          <w:color w:val="162019"/>
          <w:sz w:val="20"/>
        </w:rPr>
        <w:t>Exécuter smoke tests, tests négatifs et contrôles d’idempotence adaptés.</w:t>
      </w:r>
    </w:p>
    <w:p>
      <w:pPr>
        <w:numPr>
          <w:ilvl w:val="0"/>
          <w:numId w:val="22"/>
        </w:numPr>
        <w:spacing w:after="80" w:line="283" w:lineRule="auto"/>
      </w:pPr>
      <w:r>
        <w:rPr>
          <w:rFonts w:ascii="Arial" w:hAnsi="Arial" w:eastAsia="Arial"/>
          <w:color w:val="162019"/>
          <w:sz w:val="20"/>
        </w:rPr>
        <w:t>Observer pendant la fenêtre définie puis signer succès, rollback ou état indéterminé.</w:t>
      </w:r>
    </w:p>
    <w:p>
      <w:pPr>
        <w:pStyle w:val="Heading2"/>
      </w:pPr>
      <w:r>
        <w:t>Déclencheurs de rollback</w:t>
      </w:r>
    </w:p>
    <w:p>
      <w:pPr>
        <w:numPr>
          <w:ilvl w:val="0"/>
          <w:numId w:val="23"/>
        </w:numPr>
        <w:spacing w:after="80" w:line="283" w:lineRule="auto"/>
      </w:pPr>
      <w:r>
        <w:rPr>
          <w:rFonts w:ascii="Arial" w:hAnsi="Arial" w:eastAsia="Arial"/>
          <w:color w:val="162019"/>
          <w:sz w:val="20"/>
        </w:rPr>
        <w:t>bytecode, checksum, configuration ou rôle différent de la candidate ;</w:t>
      </w:r>
    </w:p>
    <w:p>
      <w:pPr>
        <w:numPr>
          <w:ilvl w:val="0"/>
          <w:numId w:val="23"/>
        </w:numPr>
        <w:spacing w:after="80" w:line="283" w:lineRule="auto"/>
      </w:pPr>
      <w:r>
        <w:rPr>
          <w:rFonts w:ascii="Arial" w:hAnsi="Arial" w:eastAsia="Arial"/>
          <w:color w:val="162019"/>
          <w:sz w:val="20"/>
        </w:rPr>
        <w:t>perte de visibilité, alerte critique ou absence de journalisation ;</w:t>
      </w:r>
    </w:p>
    <w:p>
      <w:pPr>
        <w:numPr>
          <w:ilvl w:val="0"/>
          <w:numId w:val="23"/>
        </w:numPr>
        <w:spacing w:after="80" w:line="283" w:lineRule="auto"/>
      </w:pPr>
      <w:r>
        <w:rPr>
          <w:rFonts w:ascii="Arial" w:hAnsi="Arial" w:eastAsia="Arial"/>
          <w:color w:val="162019"/>
          <w:sz w:val="20"/>
        </w:rPr>
        <w:t>divergence d’état, double conséquence, rejeu ou classification injustifiée ;</w:t>
      </w:r>
    </w:p>
    <w:p>
      <w:pPr>
        <w:numPr>
          <w:ilvl w:val="0"/>
          <w:numId w:val="23"/>
        </w:numPr>
        <w:spacing w:after="80" w:line="283" w:lineRule="auto"/>
      </w:pPr>
      <w:r>
        <w:rPr>
          <w:rFonts w:ascii="Arial" w:hAnsi="Arial" w:eastAsia="Arial"/>
          <w:color w:val="162019"/>
          <w:sz w:val="20"/>
        </w:rPr>
        <w:t>dégradation dépassant le seuil ou la fenêtre autorisée ;</w:t>
      </w:r>
    </w:p>
    <w:p>
      <w:pPr>
        <w:numPr>
          <w:ilvl w:val="0"/>
          <w:numId w:val="23"/>
        </w:numPr>
        <w:spacing w:after="80" w:line="283" w:lineRule="auto"/>
      </w:pPr>
      <w:r>
        <w:rPr>
          <w:rFonts w:ascii="Arial" w:hAnsi="Arial" w:eastAsia="Arial"/>
          <w:color w:val="162019"/>
          <w:sz w:val="20"/>
        </w:rPr>
        <w:t>impossibilité de démontrer l’état final.</w:t>
      </w:r>
    </w:p>
    <w:p>
      <w:pPr>
        <w:keepNext/>
        <w:spacing w:before="440" w:after="100"/>
      </w:pPr>
      <w:r>
        <w:rPr>
          <w:rFonts w:ascii="Arial" w:hAnsi="Arial" w:eastAsia="Arial"/>
          <w:b/>
          <w:color w:val="C6A15B"/>
          <w:sz w:val="16"/>
        </w:rPr>
        <w:t>CHAPITRE 08</w:t>
      </w:r>
    </w:p>
    <w:p>
      <w:pPr>
        <w:pStyle w:val="Heading1"/>
        <w:pageBreakBefore w:val="0"/>
      </w:pPr>
      <w:r>
        <w:t>Opérations Base Sepolia</w:t>
      </w:r>
    </w:p>
    <w:p>
      <w:pPr>
        <w:pStyle w:val="Heading2"/>
      </w:pPr>
      <w:r>
        <w:t>Règles réseau</w:t>
      </w:r>
    </w:p>
    <w:tbl>
      <w:tblPr>
        <w:tblStyle w:val="TableGrid"/>
        <w:tblW w:type="dxa" w:w="9500"/>
        <w:jc w:val="left"/>
        <w:tblLayout w:type="fixed"/>
        <w:tblLook w:firstColumn="1" w:firstRow="1" w:lastColumn="0" w:lastRow="0" w:noHBand="0" w:noVBand="1" w:val="04A0"/>
        <w:tblInd w:w="120" w:type="dxa"/>
      </w:tblPr>
      <w:tblGrid>
        <w:gridCol w:w="2400"/>
        <w:gridCol w:w="7100"/>
      </w:tblGrid>
      <w:tr>
        <w:trPr>
          <w:tblHeader w:val="true"/>
          <w:cantSplit/>
        </w:trPr>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7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Exigence</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Identification</w:t>
            </w:r>
          </w:p>
        </w:tc>
        <w:tc>
          <w:tcPr>
            <w:tcW w:type="dxa" w:w="7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Base Sepolia ; chain ID 84532 ; confirmation indépendante avant signature</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Comptes</w:t>
            </w:r>
          </w:p>
        </w:tc>
        <w:tc>
          <w:tcPr>
            <w:tcW w:type="dxa" w:w="7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Adresses dédiées au testnet, sans fonds réels ni réutilisation mainnet</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RPC</w:t>
            </w:r>
          </w:p>
        </w:tc>
        <w:tc>
          <w:tcPr>
            <w:tcW w:type="dxa" w:w="7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Deux sources réellement indépendantes lorsque la décision dépend de la chaîne</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Finalité</w:t>
            </w:r>
          </w:p>
        </w:tc>
        <w:tc>
          <w:tcPr>
            <w:tcW w:type="dxa" w:w="7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Seuil défini par politique ; aucun nombre inventé dans ce manuel</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Reorg</w:t>
            </w:r>
          </w:p>
        </w:tc>
        <w:tc>
          <w:tcPr>
            <w:tcW w:type="dxa" w:w="7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non terminal tant que la profondeur et la convergence ne satisfont pas la politique</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Transactions</w:t>
            </w:r>
          </w:p>
        </w:tc>
        <w:tc>
          <w:tcPr>
            <w:tcW w:type="dxa" w:w="7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Nonce, chaîne, cible, méthode, paramètres, valeur et gas revus avant signature</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Explorateur</w:t>
            </w:r>
          </w:p>
        </w:tc>
        <w:tc>
          <w:tcPr>
            <w:tcW w:type="dxa" w:w="7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Outil de corroboration, jamais source unique de vérité</w:t>
            </w:r>
          </w:p>
        </w:tc>
      </w:tr>
    </w:tbl>
    <w:p>
      <w:pPr>
        <w:spacing w:after="40"/>
      </w:pPr>
    </w:p>
    <w:p>
      <w:pPr>
        <w:pStyle w:val="Heading2"/>
      </w:pPr>
      <w:r>
        <w:t>Checklist avant transaction</w:t>
      </w:r>
    </w:p>
    <w:p>
      <w:pPr>
        <w:numPr>
          <w:ilvl w:val="0"/>
          <w:numId w:val="24"/>
        </w:numPr>
        <w:spacing w:after="80" w:line="283" w:lineRule="auto"/>
      </w:pPr>
      <w:r>
        <w:rPr>
          <w:rFonts w:ascii="Arial" w:hAnsi="Arial" w:eastAsia="Arial"/>
          <w:color w:val="162019"/>
          <w:sz w:val="20"/>
        </w:rPr>
        <w:t>Lire à voix haute ou afficher clairement réseau, chain ID, compte signataire et rôle.</w:t>
      </w:r>
    </w:p>
    <w:p>
      <w:pPr>
        <w:numPr>
          <w:ilvl w:val="0"/>
          <w:numId w:val="24"/>
        </w:numPr>
        <w:spacing w:after="80" w:line="283" w:lineRule="auto"/>
      </w:pPr>
      <w:r>
        <w:rPr>
          <w:rFonts w:ascii="Arial" w:hAnsi="Arial" w:eastAsia="Arial"/>
          <w:color w:val="162019"/>
          <w:sz w:val="20"/>
        </w:rPr>
        <w:t>Comparer adresse cible et bytecode avec le registre réconcilié.</w:t>
      </w:r>
    </w:p>
    <w:p>
      <w:pPr>
        <w:numPr>
          <w:ilvl w:val="0"/>
          <w:numId w:val="24"/>
        </w:numPr>
        <w:spacing w:after="80" w:line="283" w:lineRule="auto"/>
      </w:pPr>
      <w:r>
        <w:rPr>
          <w:rFonts w:ascii="Arial" w:hAnsi="Arial" w:eastAsia="Arial"/>
          <w:color w:val="162019"/>
          <w:sz w:val="20"/>
        </w:rPr>
        <w:t>Décoder méthode, paramètres, valeur et conséquences attendues.</w:t>
      </w:r>
    </w:p>
    <w:p>
      <w:pPr>
        <w:numPr>
          <w:ilvl w:val="0"/>
          <w:numId w:val="24"/>
        </w:numPr>
        <w:spacing w:after="80" w:line="283" w:lineRule="auto"/>
      </w:pPr>
      <w:r>
        <w:rPr>
          <w:rFonts w:ascii="Arial" w:hAnsi="Arial" w:eastAsia="Arial"/>
          <w:color w:val="162019"/>
          <w:sz w:val="20"/>
        </w:rPr>
        <w:t>Vérifier nonce, expiration, replay protection et limites de gas.</w:t>
      </w:r>
    </w:p>
    <w:p>
      <w:pPr>
        <w:numPr>
          <w:ilvl w:val="0"/>
          <w:numId w:val="24"/>
        </w:numPr>
        <w:spacing w:after="80" w:line="283" w:lineRule="auto"/>
      </w:pPr>
      <w:r>
        <w:rPr>
          <w:rFonts w:ascii="Arial" w:hAnsi="Arial" w:eastAsia="Arial"/>
          <w:color w:val="162019"/>
          <w:sz w:val="20"/>
        </w:rPr>
        <w:t>Obtenir l’approbation requise et conserver la demande avant signature.</w:t>
      </w:r>
    </w:p>
    <w:p>
      <w:pPr>
        <w:numPr>
          <w:ilvl w:val="0"/>
          <w:numId w:val="24"/>
        </w:numPr>
        <w:spacing w:after="80" w:line="283" w:lineRule="auto"/>
      </w:pPr>
      <w:r>
        <w:rPr>
          <w:rFonts w:ascii="Arial" w:hAnsi="Arial" w:eastAsia="Arial"/>
          <w:color w:val="162019"/>
          <w:sz w:val="20"/>
        </w:rPr>
        <w:t>Après émission, enregistrer hash, bloc, statut, confirmations et résultat métier.</w:t>
      </w:r>
    </w:p>
    <w:p>
      <w:pPr>
        <w:spacing w:before="100" w:after="180" w:line="283" w:lineRule="auto"/>
        <w:ind w:left="227" w:right="170"/>
        <w:shd w:fill="F6F0E3"/>
        <w:pBdr>
          <w:left w:val="single" w:sz="18" w:space="8" w:color="C6A15B"/>
        </w:pBdr>
      </w:pPr>
      <w:r>
        <w:rPr>
          <w:rFonts w:ascii="Arial" w:hAnsi="Arial" w:eastAsia="Arial"/>
          <w:b/>
          <w:color w:val="C6A15B"/>
          <w:sz w:val="16"/>
        </w:rPr>
        <w:t>ADRESSE MANQUANTE</w:t>
        <w:br/>
      </w:r>
      <w:r>
        <w:rPr>
          <w:rFonts w:ascii="Arial" w:hAnsi="Arial" w:eastAsia="Arial"/>
          <w:b w:val="0"/>
          <w:color w:val="162019"/>
          <w:sz w:val="20"/>
        </w:rPr>
        <w:t>Aucune adresse de contrat, transaction ou compte n’est fournie ici : elle doit provenir du registre de preuves réconcilié. Copier une adresse depuis un message non contrôlé est interdit.</w:t>
      </w:r>
    </w:p>
    <w:p>
      <w:r>
        <w:br w:type="page"/>
      </w:r>
    </w:p>
    <w:p>
      <w:pPr>
        <w:keepNext/>
        <w:spacing w:before="440" w:after="100"/>
      </w:pPr>
      <w:r>
        <w:rPr>
          <w:rFonts w:ascii="Arial" w:hAnsi="Arial" w:eastAsia="Arial"/>
          <w:b/>
          <w:color w:val="C6A15B"/>
          <w:sz w:val="16"/>
        </w:rPr>
        <w:t>CHAPITRE 09</w:t>
      </w:r>
    </w:p>
    <w:p>
      <w:pPr>
        <w:pStyle w:val="Heading1"/>
        <w:pageBreakBefore w:val="0"/>
      </w:pPr>
      <w:r>
        <w:t>Données, preuves et exports</w:t>
      </w:r>
    </w:p>
    <w:p>
      <w:pPr>
        <w:pStyle w:val="Heading2"/>
      </w:pPr>
      <w:r>
        <w:t>Paquet de preuve minimal</w:t>
      </w:r>
    </w:p>
    <w:tbl>
      <w:tblPr>
        <w:tblStyle w:val="TableGrid"/>
        <w:tblW w:type="dxa" w:w="9500"/>
        <w:jc w:val="left"/>
        <w:tblLayout w:type="fixed"/>
        <w:tblLook w:firstColumn="1" w:firstRow="1" w:lastColumn="0" w:lastRow="0" w:noHBand="0" w:noVBand="1" w:val="04A0"/>
        <w:tblInd w:w="120" w:type="dxa"/>
      </w:tblPr>
      <w:tblGrid>
        <w:gridCol w:w="2200"/>
        <w:gridCol w:w="73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Élément</w:t>
            </w:r>
          </w:p>
        </w:tc>
        <w:tc>
          <w:tcPr>
            <w:tcW w:type="dxa" w:w="7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Contenu</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Contexte</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Request ID, session, environnement, version et politique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Entrée</w:t>
            </w:r>
          </w:p>
        </w:tc>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Demande canonique, signataire, nonce et horodatage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Sources</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Collecteurs, trust domains, RPC, blocs et finalité</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Calcul</w:t>
            </w:r>
          </w:p>
        </w:tc>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Règles appliquées, résultats intermédiaires et raisons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Sortie</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Classification, état terminal ou UNDETERMINED</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Chaîne</w:t>
            </w:r>
          </w:p>
        </w:tc>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Transaction, bloc, confirmations, reorg et état final</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Intégrité</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Hash, signature, provenance et contrôle d’accès</w:t>
            </w:r>
          </w:p>
        </w:tc>
      </w:tr>
    </w:tbl>
    <w:p>
      <w:pPr>
        <w:spacing w:after="40"/>
      </w:pPr>
    </w:p>
    <w:p>
      <w:pPr>
        <w:pStyle w:val="Heading2"/>
      </w:pPr>
      <w:r>
        <w:t>Procédure d’export</w:t>
      </w:r>
    </w:p>
    <w:p>
      <w:pPr>
        <w:numPr>
          <w:ilvl w:val="0"/>
          <w:numId w:val="25"/>
        </w:numPr>
        <w:spacing w:after="80" w:line="283" w:lineRule="auto"/>
      </w:pPr>
      <w:r>
        <w:rPr>
          <w:rFonts w:ascii="Arial" w:hAnsi="Arial" w:eastAsia="Arial"/>
          <w:color w:val="162019"/>
          <w:sz w:val="20"/>
        </w:rPr>
        <w:t>Définir le périmètre exact et l’autorité de l’export.</w:t>
      </w:r>
    </w:p>
    <w:p>
      <w:pPr>
        <w:numPr>
          <w:ilvl w:val="0"/>
          <w:numId w:val="25"/>
        </w:numPr>
        <w:spacing w:after="80" w:line="283" w:lineRule="auto"/>
      </w:pPr>
      <w:r>
        <w:rPr>
          <w:rFonts w:ascii="Arial" w:hAnsi="Arial" w:eastAsia="Arial"/>
          <w:color w:val="162019"/>
          <w:sz w:val="20"/>
        </w:rPr>
        <w:t>Copier depuis la source contrôlée sans modifier l’original.</w:t>
      </w:r>
    </w:p>
    <w:p>
      <w:pPr>
        <w:numPr>
          <w:ilvl w:val="0"/>
          <w:numId w:val="25"/>
        </w:numPr>
        <w:spacing w:after="80" w:line="283" w:lineRule="auto"/>
      </w:pPr>
      <w:r>
        <w:rPr>
          <w:rFonts w:ascii="Arial" w:hAnsi="Arial" w:eastAsia="Arial"/>
          <w:color w:val="162019"/>
          <w:sz w:val="20"/>
        </w:rPr>
        <w:t>Minimiser ou expurger les secrets et données personnelles non nécessaires.</w:t>
      </w:r>
    </w:p>
    <w:p>
      <w:pPr>
        <w:numPr>
          <w:ilvl w:val="0"/>
          <w:numId w:val="25"/>
        </w:numPr>
        <w:spacing w:after="80" w:line="283" w:lineRule="auto"/>
      </w:pPr>
      <w:r>
        <w:rPr>
          <w:rFonts w:ascii="Arial" w:hAnsi="Arial" w:eastAsia="Arial"/>
          <w:color w:val="162019"/>
          <w:sz w:val="20"/>
        </w:rPr>
        <w:t>Produire un manifeste avec fichiers, tailles, hashes, versions et méthode.</w:t>
      </w:r>
    </w:p>
    <w:p>
      <w:pPr>
        <w:numPr>
          <w:ilvl w:val="0"/>
          <w:numId w:val="25"/>
        </w:numPr>
        <w:spacing w:after="80" w:line="283" w:lineRule="auto"/>
      </w:pPr>
      <w:r>
        <w:rPr>
          <w:rFonts w:ascii="Arial" w:hAnsi="Arial" w:eastAsia="Arial"/>
          <w:color w:val="162019"/>
          <w:sz w:val="20"/>
        </w:rPr>
        <w:t>Stocker la copie dans un espace restreint et journaliser chaque accès.</w:t>
      </w:r>
    </w:p>
    <w:p>
      <w:pPr>
        <w:numPr>
          <w:ilvl w:val="0"/>
          <w:numId w:val="25"/>
        </w:numPr>
        <w:spacing w:after="80" w:line="283" w:lineRule="auto"/>
      </w:pPr>
      <w:r>
        <w:rPr>
          <w:rFonts w:ascii="Arial" w:hAnsi="Arial" w:eastAsia="Arial"/>
          <w:color w:val="162019"/>
          <w:sz w:val="20"/>
        </w:rPr>
        <w:t>Tester la lecture et la reproductibilité avant de déclarer l’export valide.</w:t>
      </w:r>
    </w:p>
    <w:p>
      <w:pPr>
        <w:pStyle w:val="Heading2"/>
      </w:pPr>
      <w:r>
        <w:t>Rétention et suppression</w:t>
      </w:r>
    </w:p>
    <w:tbl>
      <w:tblPr>
        <w:tblStyle w:val="TableGrid"/>
        <w:tblW w:type="dxa" w:w="9500"/>
        <w:jc w:val="left"/>
        <w:tblLayout w:type="fixed"/>
        <w:tblLook w:firstColumn="1" w:firstRow="1" w:lastColumn="0" w:lastRow="0" w:noHBand="0" w:noVBand="1" w:val="04A0"/>
        <w:tblInd w:w="120" w:type="dxa"/>
      </w:tblPr>
      <w:tblGrid>
        <w:gridCol w:w="2500"/>
        <w:gridCol w:w="70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Question</w:t>
            </w:r>
          </w:p>
        </w:tc>
        <w:tc>
          <w:tcPr>
            <w:tcW w:type="dxa" w:w="7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 requise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Durée</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DÉFINIR par catégorie de preuve et obligation applicable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Localisation</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 ; éviter la duplication non maîtrisée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Chiffrement</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IMPLÉMENTER / PROUVER au repos et en transit selon risque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Suppression</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Autorisation, méthode, journal et vérification à définir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Legal hold</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Processus à définir avec revue juridique</w:t>
            </w:r>
          </w:p>
        </w:tc>
      </w:tr>
    </w:tbl>
    <w:p>
      <w:pPr>
        <w:spacing w:after="40"/>
      </w:pPr>
    </w:p>
    <w:p>
      <w:pPr>
        <w:keepNext/>
        <w:spacing w:before="440" w:after="100"/>
      </w:pPr>
      <w:r>
        <w:rPr>
          <w:rFonts w:ascii="Arial" w:hAnsi="Arial" w:eastAsia="Arial"/>
          <w:b/>
          <w:color w:val="C6A15B"/>
          <w:sz w:val="16"/>
        </w:rPr>
        <w:t>CHAPITRE 10</w:t>
      </w:r>
    </w:p>
    <w:p>
      <w:pPr>
        <w:pStyle w:val="Heading1"/>
        <w:pageBreakBefore w:val="0"/>
      </w:pPr>
      <w:r>
        <w:t>Runbooks de service et de chaîne</w:t>
      </w:r>
    </w:p>
    <w:p>
      <w:pPr>
        <w:pStyle w:val="Heading2"/>
      </w:pPr>
      <w:r>
        <w:t>RB-01 — Service indisponible ou dégradé</w:t>
      </w:r>
    </w:p>
    <w:tbl>
      <w:tblPr>
        <w:tblStyle w:val="TableGrid"/>
        <w:tblW w:type="dxa" w:w="9500"/>
        <w:jc w:val="left"/>
        <w:tblLayout w:type="fixed"/>
        <w:tblLook w:firstColumn="1" w:firstRow="1" w:lastColumn="0" w:lastRow="0" w:noHBand="0" w:noVBand="1" w:val="04A0"/>
        <w:tblInd w:w="120" w:type="dxa"/>
      </w:tblPr>
      <w:tblGrid>
        <w:gridCol w:w="2100"/>
        <w:gridCol w:w="74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7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Instruction</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Déclencheur</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Échec de santé, latence hors borne, crash répété ou dépendance indisponible.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Autorité</w:t>
            </w:r>
          </w:p>
        </w:tc>
        <w:tc>
          <w:tcPr>
            <w:tcW w:type="dxa" w:w="7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Opérateur désigné ; escalade au responsable technique ou à l’Incident Commander selon impact</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Critère de succès</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Service stable, demandes réconciliées et absence de conséquence dupliquée.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Critère d’arrêt</w:t>
            </w:r>
          </w:p>
        </w:tc>
        <w:tc>
          <w:tcPr>
            <w:tcW w:type="dxa" w:w="7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inconnu, logs absents, persistance incohérente ou récidive immédiate.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Preuves à conserver</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Logs, métriques, état avant/après, actions, files et décision de reprise.</w:t>
            </w:r>
          </w:p>
        </w:tc>
      </w:tr>
    </w:tbl>
    <w:p>
      <w:pPr>
        <w:spacing w:after="40"/>
      </w:pPr>
    </w:p>
    <w:p>
      <w:pPr>
        <w:pStyle w:val="Heading3"/>
      </w:pPr>
      <w:r>
        <w:t>Séquence</w:t>
      </w:r>
    </w:p>
    <w:p>
      <w:pPr>
        <w:numPr>
          <w:ilvl w:val="0"/>
          <w:numId w:val="26"/>
        </w:numPr>
        <w:spacing w:after="80" w:line="283" w:lineRule="auto"/>
      </w:pPr>
      <w:r>
        <w:rPr>
          <w:rFonts w:ascii="Arial" w:hAnsi="Arial" w:eastAsia="Arial"/>
          <w:color w:val="162019"/>
          <w:sz w:val="20"/>
        </w:rPr>
        <w:t>Ouvrir l’incident ou l’écart et capturer heure, version, requête et métriques.</w:t>
      </w:r>
    </w:p>
    <w:p>
      <w:pPr>
        <w:numPr>
          <w:ilvl w:val="0"/>
          <w:numId w:val="26"/>
        </w:numPr>
        <w:spacing w:after="80" w:line="283" w:lineRule="auto"/>
      </w:pPr>
      <w:r>
        <w:rPr>
          <w:rFonts w:ascii="Arial" w:hAnsi="Arial" w:eastAsia="Arial"/>
          <w:color w:val="162019"/>
          <w:sz w:val="20"/>
        </w:rPr>
        <w:t>Bloquer les nouvelles conséquences si l’intégrité ou l’explicabilité est affectée.</w:t>
      </w:r>
    </w:p>
    <w:p>
      <w:pPr>
        <w:numPr>
          <w:ilvl w:val="0"/>
          <w:numId w:val="26"/>
        </w:numPr>
        <w:spacing w:after="80" w:line="283" w:lineRule="auto"/>
      </w:pPr>
      <w:r>
        <w:rPr>
          <w:rFonts w:ascii="Arial" w:hAnsi="Arial" w:eastAsia="Arial"/>
          <w:color w:val="162019"/>
          <w:sz w:val="20"/>
        </w:rPr>
        <w:t>Distinguer application, dépendance, stockage, RPC et réseau sans redémarrage aveugle.</w:t>
      </w:r>
    </w:p>
    <w:p>
      <w:pPr>
        <w:numPr>
          <w:ilvl w:val="0"/>
          <w:numId w:val="26"/>
        </w:numPr>
        <w:spacing w:after="80" w:line="283" w:lineRule="auto"/>
      </w:pPr>
      <w:r>
        <w:rPr>
          <w:rFonts w:ascii="Arial" w:hAnsi="Arial" w:eastAsia="Arial"/>
          <w:color w:val="162019"/>
          <w:sz w:val="20"/>
        </w:rPr>
        <w:t>Préserver les logs puis exécuter un redémarrage contrôlé uniquement s’il est autorisé.</w:t>
      </w:r>
    </w:p>
    <w:p>
      <w:pPr>
        <w:numPr>
          <w:ilvl w:val="0"/>
          <w:numId w:val="26"/>
        </w:numPr>
        <w:spacing w:after="80" w:line="283" w:lineRule="auto"/>
      </w:pPr>
      <w:r>
        <w:rPr>
          <w:rFonts w:ascii="Arial" w:hAnsi="Arial" w:eastAsia="Arial"/>
          <w:color w:val="162019"/>
          <w:sz w:val="20"/>
        </w:rPr>
        <w:t>Vérifier files, verrous, idempotence et état canonique avant reprise progressive.</w:t>
      </w:r>
    </w:p>
    <w:p>
      <w:pPr>
        <w:pStyle w:val="Heading2"/>
      </w:pPr>
      <w:r>
        <w:t>RB-02 — Divergence RPC, reorg ou finalité</w:t>
      </w:r>
    </w:p>
    <w:tbl>
      <w:tblPr>
        <w:tblStyle w:val="TableGrid"/>
        <w:tblW w:type="dxa" w:w="9500"/>
        <w:jc w:val="left"/>
        <w:tblLayout w:type="fixed"/>
        <w:tblLook w:firstColumn="1" w:firstRow="1" w:lastColumn="0" w:lastRow="0" w:noHBand="0" w:noVBand="1" w:val="04A0"/>
        <w:tblInd w:w="120" w:type="dxa"/>
      </w:tblPr>
      <w:tblGrid>
        <w:gridCol w:w="2100"/>
        <w:gridCol w:w="74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7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Instruction</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Déclencheur</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Sources RPC divergentes, bloc réorganisé, finalité dépassée ou indexer incohérent.</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Autorité</w:t>
            </w:r>
          </w:p>
        </w:tc>
        <w:tc>
          <w:tcPr>
            <w:tcW w:type="dxa" w:w="7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Opérateur désigné ; escalade au responsable technique ou à l’Incident Commander selon impact</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Critère de succès</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Sources convergentes, état recalculé et effets aval réconciliés.</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Critère d’arrêt</w:t>
            </w:r>
          </w:p>
        </w:tc>
        <w:tc>
          <w:tcPr>
            <w:tcW w:type="dxa" w:w="7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Absence de quorum, profondeur hors politique ou conséquence irréversible suspecte.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Preuves à conserver</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Réponses RPC, blocs/hashes, checkpoint, calcul avant/après et décision.</w:t>
            </w:r>
          </w:p>
        </w:tc>
      </w:tr>
    </w:tbl>
    <w:p>
      <w:pPr>
        <w:spacing w:after="40"/>
      </w:pPr>
    </w:p>
    <w:p>
      <w:pPr>
        <w:pStyle w:val="Heading3"/>
      </w:pPr>
      <w:r>
        <w:t>Séquence</w:t>
      </w:r>
    </w:p>
    <w:p>
      <w:pPr>
        <w:numPr>
          <w:ilvl w:val="0"/>
          <w:numId w:val="27"/>
        </w:numPr>
        <w:spacing w:after="80" w:line="283" w:lineRule="auto"/>
      </w:pPr>
      <w:r>
        <w:rPr>
          <w:rFonts w:ascii="Arial" w:hAnsi="Arial" w:eastAsia="Arial"/>
          <w:color w:val="162019"/>
          <w:sz w:val="20"/>
        </w:rPr>
        <w:t>Geler la décision terminale et classer UNDETERMINED.</w:t>
      </w:r>
    </w:p>
    <w:p>
      <w:pPr>
        <w:numPr>
          <w:ilvl w:val="0"/>
          <w:numId w:val="27"/>
        </w:numPr>
        <w:spacing w:after="80" w:line="283" w:lineRule="auto"/>
      </w:pPr>
      <w:r>
        <w:rPr>
          <w:rFonts w:ascii="Arial" w:hAnsi="Arial" w:eastAsia="Arial"/>
          <w:color w:val="162019"/>
          <w:sz w:val="20"/>
        </w:rPr>
        <w:t>Capturer endpoints, blocs, hashes, hauteurs, horodatages et version de l’indexer.</w:t>
      </w:r>
    </w:p>
    <w:p>
      <w:pPr>
        <w:numPr>
          <w:ilvl w:val="0"/>
          <w:numId w:val="27"/>
        </w:numPr>
        <w:spacing w:after="80" w:line="283" w:lineRule="auto"/>
      </w:pPr>
      <w:r>
        <w:rPr>
          <w:rFonts w:ascii="Arial" w:hAnsi="Arial" w:eastAsia="Arial"/>
          <w:color w:val="162019"/>
          <w:sz w:val="20"/>
        </w:rPr>
        <w:t>Comparer des sources réellement indépendantes et vérifier la politique de finalité.</w:t>
      </w:r>
    </w:p>
    <w:p>
      <w:pPr>
        <w:numPr>
          <w:ilvl w:val="0"/>
          <w:numId w:val="27"/>
        </w:numPr>
        <w:spacing w:after="80" w:line="283" w:lineRule="auto"/>
      </w:pPr>
      <w:r>
        <w:rPr>
          <w:rFonts w:ascii="Arial" w:hAnsi="Arial" w:eastAsia="Arial"/>
          <w:color w:val="162019"/>
          <w:sz w:val="20"/>
        </w:rPr>
        <w:t>Revenir au dernier checkpoint canonique prouvé et recalculer sans effacer l’historique.</w:t>
      </w:r>
    </w:p>
    <w:p>
      <w:pPr>
        <w:numPr>
          <w:ilvl w:val="0"/>
          <w:numId w:val="27"/>
        </w:numPr>
        <w:spacing w:after="80" w:line="283" w:lineRule="auto"/>
      </w:pPr>
      <w:r>
        <w:rPr>
          <w:rFonts w:ascii="Arial" w:hAnsi="Arial" w:eastAsia="Arial"/>
          <w:color w:val="162019"/>
          <w:sz w:val="20"/>
        </w:rPr>
        <w:t>Reprendre uniquement après convergence, seuil satisfait et revue documentée.</w:t>
      </w:r>
    </w:p>
    <w:p>
      <w:r>
        <w:br w:type="page"/>
      </w:r>
    </w:p>
    <w:p>
      <w:pPr>
        <w:keepNext/>
        <w:spacing w:before="440" w:after="100"/>
      </w:pPr>
      <w:r>
        <w:rPr>
          <w:rFonts w:ascii="Arial" w:hAnsi="Arial" w:eastAsia="Arial"/>
          <w:b/>
          <w:color w:val="C6A15B"/>
          <w:sz w:val="16"/>
        </w:rPr>
        <w:t>CHAPITRE 11</w:t>
      </w:r>
    </w:p>
    <w:p>
      <w:pPr>
        <w:pStyle w:val="Heading1"/>
        <w:pageBreakBefore w:val="0"/>
      </w:pPr>
      <w:r>
        <w:t>Runbooks d’intégrité et de sécurité</w:t>
      </w:r>
    </w:p>
    <w:p>
      <w:pPr>
        <w:pStyle w:val="Heading2"/>
      </w:pPr>
      <w:r>
        <w:t>RB-03 — Classification ou preuve incohérente</w:t>
      </w:r>
    </w:p>
    <w:tbl>
      <w:tblPr>
        <w:tblStyle w:val="TableGrid"/>
        <w:tblW w:type="dxa" w:w="9500"/>
        <w:jc w:val="left"/>
        <w:tblLayout w:type="fixed"/>
        <w:tblLook w:firstColumn="1" w:firstRow="1" w:lastColumn="0" w:lastRow="0" w:noHBand="0" w:noVBand="1" w:val="04A0"/>
        <w:tblInd w:w="120" w:type="dxa"/>
      </w:tblPr>
      <w:tblGrid>
        <w:gridCol w:w="2100"/>
        <w:gridCol w:w="74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7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Instruction</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Déclencheur</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PROVIDER_FAULT inattendu, preuve invalide, résultat non reproductible ou source contestée.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Autorité</w:t>
            </w:r>
          </w:p>
        </w:tc>
        <w:tc>
          <w:tcPr>
            <w:tcW w:type="dxa" w:w="7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Opérateur désigné ; escalade au responsable technique ou à l’Incident Commander selon impact</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Critère de succès</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Résultat reproductible, cause qualifiée et historique préservé.</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Critère d’arrêt</w:t>
            </w:r>
          </w:p>
        </w:tc>
        <w:tc>
          <w:tcPr>
            <w:tcW w:type="dxa" w:w="7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Candidate inconnue, preuve altérée, double conséquence ou cause non bornée.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Preuves à conserver</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Entrées, politiques, résultats, signatures, replay, diff et décision de supersession.</w:t>
            </w:r>
          </w:p>
        </w:tc>
      </w:tr>
    </w:tbl>
    <w:p>
      <w:pPr>
        <w:spacing w:after="40"/>
      </w:pPr>
    </w:p>
    <w:p>
      <w:pPr>
        <w:pStyle w:val="Heading3"/>
      </w:pPr>
      <w:r>
        <w:t>Séquence</w:t>
      </w:r>
    </w:p>
    <w:p>
      <w:pPr>
        <w:numPr>
          <w:ilvl w:val="0"/>
          <w:numId w:val="28"/>
        </w:numPr>
        <w:spacing w:after="80" w:line="283" w:lineRule="auto"/>
      </w:pPr>
      <w:r>
        <w:rPr>
          <w:rFonts w:ascii="Arial" w:hAnsi="Arial" w:eastAsia="Arial"/>
          <w:color w:val="162019"/>
          <w:sz w:val="20"/>
        </w:rPr>
        <w:t>Suspendre la clôture et toute conséquence ; ne pas attribuer une faute.</w:t>
      </w:r>
    </w:p>
    <w:p>
      <w:pPr>
        <w:numPr>
          <w:ilvl w:val="0"/>
          <w:numId w:val="28"/>
        </w:numPr>
        <w:spacing w:after="80" w:line="283" w:lineRule="auto"/>
      </w:pPr>
      <w:r>
        <w:rPr>
          <w:rFonts w:ascii="Arial" w:hAnsi="Arial" w:eastAsia="Arial"/>
          <w:color w:val="162019"/>
          <w:sz w:val="20"/>
        </w:rPr>
        <w:t>Isoler demande, politique, candidate, collecteurs, signatures, RPC et blocs.</w:t>
      </w:r>
    </w:p>
    <w:p>
      <w:pPr>
        <w:numPr>
          <w:ilvl w:val="0"/>
          <w:numId w:val="28"/>
        </w:numPr>
        <w:spacing w:after="80" w:line="283" w:lineRule="auto"/>
      </w:pPr>
      <w:r>
        <w:rPr>
          <w:rFonts w:ascii="Arial" w:hAnsi="Arial" w:eastAsia="Arial"/>
          <w:color w:val="162019"/>
          <w:sz w:val="20"/>
        </w:rPr>
        <w:t>Rejouer sur une copie contrôlée avec les versions exactes et vérifier l’idempotence.</w:t>
      </w:r>
    </w:p>
    <w:p>
      <w:pPr>
        <w:numPr>
          <w:ilvl w:val="0"/>
          <w:numId w:val="28"/>
        </w:numPr>
        <w:spacing w:after="80" w:line="283" w:lineRule="auto"/>
      </w:pPr>
      <w:r>
        <w:rPr>
          <w:rFonts w:ascii="Arial" w:hAnsi="Arial" w:eastAsia="Arial"/>
          <w:color w:val="162019"/>
          <w:sz w:val="20"/>
        </w:rPr>
        <w:t>Qualifier PROTOCOL_FAULT, CHAIN_FAULT, DEPENDENCY_FAULT ou UNDETERMINED.</w:t>
      </w:r>
    </w:p>
    <w:p>
      <w:pPr>
        <w:numPr>
          <w:ilvl w:val="0"/>
          <w:numId w:val="28"/>
        </w:numPr>
        <w:spacing w:after="80" w:line="283" w:lineRule="auto"/>
      </w:pPr>
      <w:r>
        <w:rPr>
          <w:rFonts w:ascii="Arial" w:hAnsi="Arial" w:eastAsia="Arial"/>
          <w:color w:val="162019"/>
          <w:sz w:val="20"/>
        </w:rPr>
        <w:t>Émettre une correction ou supersession traçable ; ne jamais réécrire silencieusement.</w:t>
      </w:r>
    </w:p>
    <w:p>
      <w:pPr>
        <w:pStyle w:val="Heading2"/>
      </w:pPr>
      <w:r>
        <w:t>RB-04 — Persistance, file ou checkpoint incohérent</w:t>
      </w:r>
    </w:p>
    <w:tbl>
      <w:tblPr>
        <w:tblStyle w:val="TableGrid"/>
        <w:tblW w:type="dxa" w:w="9500"/>
        <w:jc w:val="left"/>
        <w:tblLayout w:type="fixed"/>
        <w:tblLook w:firstColumn="1" w:firstRow="1" w:lastColumn="0" w:lastRow="0" w:noHBand="0" w:noVBand="1" w:val="04A0"/>
        <w:tblInd w:w="120" w:type="dxa"/>
      </w:tblPr>
      <w:tblGrid>
        <w:gridCol w:w="2100"/>
        <w:gridCol w:w="74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7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Instruction</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Déclencheur</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Écriture manquante, file bloquée, doublon, retard anormal ou checkpoint invalide.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Autorité</w:t>
            </w:r>
          </w:p>
        </w:tc>
        <w:tc>
          <w:tcPr>
            <w:tcW w:type="dxa" w:w="7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Opérateur désigné ; escalade au responsable technique ou à l’Incident Commander selon impact</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Critère de succès</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File réconciliée, aucun doublon et checkpoint vérifié.</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Critère d’arrêt</w:t>
            </w:r>
          </w:p>
        </w:tc>
        <w:tc>
          <w:tcPr>
            <w:tcW w:type="dxa" w:w="7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Ambiguïté sur les effets, sauvegarde non testée ou perte non quantifiée.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Preuves à conserver</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Offsets, IDs, snapshots, hashes, journal de replay et rapport de réconciliation.</w:t>
            </w:r>
          </w:p>
        </w:tc>
      </w:tr>
    </w:tbl>
    <w:p>
      <w:pPr>
        <w:spacing w:after="40"/>
      </w:pPr>
    </w:p>
    <w:p>
      <w:pPr>
        <w:pStyle w:val="Heading3"/>
      </w:pPr>
      <w:r>
        <w:t>Séquence</w:t>
      </w:r>
    </w:p>
    <w:p>
      <w:pPr>
        <w:numPr>
          <w:ilvl w:val="0"/>
          <w:numId w:val="29"/>
        </w:numPr>
        <w:spacing w:after="80" w:line="283" w:lineRule="auto"/>
      </w:pPr>
      <w:r>
        <w:rPr>
          <w:rFonts w:ascii="Arial" w:hAnsi="Arial" w:eastAsia="Arial"/>
          <w:color w:val="162019"/>
          <w:sz w:val="20"/>
        </w:rPr>
        <w:t>Arrêter les consommateurs susceptibles de produire un effet supplémentaire.</w:t>
      </w:r>
    </w:p>
    <w:p>
      <w:pPr>
        <w:numPr>
          <w:ilvl w:val="0"/>
          <w:numId w:val="29"/>
        </w:numPr>
        <w:spacing w:after="80" w:line="283" w:lineRule="auto"/>
      </w:pPr>
      <w:r>
        <w:rPr>
          <w:rFonts w:ascii="Arial" w:hAnsi="Arial" w:eastAsia="Arial"/>
          <w:color w:val="162019"/>
          <w:sz w:val="20"/>
        </w:rPr>
        <w:t>Capturer taille de file, offsets, verrous, identifiants et dernier état cohérent.</w:t>
      </w:r>
    </w:p>
    <w:p>
      <w:pPr>
        <w:numPr>
          <w:ilvl w:val="0"/>
          <w:numId w:val="29"/>
        </w:numPr>
        <w:spacing w:after="80" w:line="283" w:lineRule="auto"/>
      </w:pPr>
      <w:r>
        <w:rPr>
          <w:rFonts w:ascii="Arial" w:hAnsi="Arial" w:eastAsia="Arial"/>
          <w:color w:val="162019"/>
          <w:sz w:val="20"/>
        </w:rPr>
        <w:t>Établir les éléments traités, non traités, ambigus et potentiellement dupliqués.</w:t>
      </w:r>
    </w:p>
    <w:p>
      <w:pPr>
        <w:numPr>
          <w:ilvl w:val="0"/>
          <w:numId w:val="29"/>
        </w:numPr>
        <w:spacing w:after="80" w:line="283" w:lineRule="auto"/>
      </w:pPr>
      <w:r>
        <w:rPr>
          <w:rFonts w:ascii="Arial" w:hAnsi="Arial" w:eastAsia="Arial"/>
          <w:color w:val="162019"/>
          <w:sz w:val="20"/>
        </w:rPr>
        <w:t>Restaurer sur une copie ou depuis un checkpoint vérifié avant toute reprise réelle.</w:t>
      </w:r>
    </w:p>
    <w:p>
      <w:pPr>
        <w:numPr>
          <w:ilvl w:val="0"/>
          <w:numId w:val="29"/>
        </w:numPr>
        <w:spacing w:after="80" w:line="283" w:lineRule="auto"/>
      </w:pPr>
      <w:r>
        <w:rPr>
          <w:rFonts w:ascii="Arial" w:hAnsi="Arial" w:eastAsia="Arial"/>
          <w:color w:val="162019"/>
          <w:sz w:val="20"/>
        </w:rPr>
        <w:t>Rejouer par lots bornés et comparer effets attendus, observés et preuves.</w:t>
      </w:r>
    </w:p>
    <w:p>
      <w:pPr>
        <w:pStyle w:val="Heading2"/>
      </w:pPr>
      <w:r>
        <w:t>RB-05 — Clé ou identité compromise</w:t>
      </w:r>
    </w:p>
    <w:tbl>
      <w:tblPr>
        <w:tblStyle w:val="TableGrid"/>
        <w:tblW w:type="dxa" w:w="9500"/>
        <w:jc w:val="left"/>
        <w:tblLayout w:type="fixed"/>
        <w:tblLook w:firstColumn="1" w:firstRow="1" w:lastColumn="0" w:lastRow="0" w:noHBand="0" w:noVBand="1" w:val="04A0"/>
        <w:tblInd w:w="120" w:type="dxa"/>
      </w:tblPr>
      <w:tblGrid>
        <w:gridCol w:w="2100"/>
        <w:gridCol w:w="74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7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Instruction</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Déclencheur</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Suspicion de fuite, signature anormale, accès non reconnu ou secret exposé.</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Autorité</w:t>
            </w:r>
          </w:p>
        </w:tc>
        <w:tc>
          <w:tcPr>
            <w:tcW w:type="dxa" w:w="7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Opérateur désigné ; escalade au responsable technique ou à l’Incident Commander selon impact</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Critère de succès</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Ancienne identité inutilisable, nouvelle identité bornée et actions réconciliées.</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Critère d’arrêt</w:t>
            </w:r>
          </w:p>
        </w:tc>
        <w:tc>
          <w:tcPr>
            <w:tcW w:type="dxa" w:w="7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Révocation impossible, rôle caché, activité inexpliquée ou secret maître touché.</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Preuves à conserver</w:t>
            </w:r>
          </w:p>
        </w:tc>
        <w:tc>
          <w:tcPr>
            <w:tcW w:type="dxa" w:w="7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Logs d’accès, rôles, signatures, transactions, révocation, rotation et retests.</w:t>
            </w:r>
          </w:p>
        </w:tc>
      </w:tr>
    </w:tbl>
    <w:p>
      <w:pPr>
        <w:spacing w:after="40"/>
      </w:pPr>
    </w:p>
    <w:p>
      <w:pPr>
        <w:pStyle w:val="Heading3"/>
      </w:pPr>
      <w:r>
        <w:t>Séquence</w:t>
      </w:r>
    </w:p>
    <w:p>
      <w:pPr>
        <w:numPr>
          <w:ilvl w:val="0"/>
          <w:numId w:val="30"/>
        </w:numPr>
        <w:spacing w:after="80" w:line="283" w:lineRule="auto"/>
      </w:pPr>
      <w:r>
        <w:rPr>
          <w:rFonts w:ascii="Arial" w:hAnsi="Arial" w:eastAsia="Arial"/>
          <w:color w:val="162019"/>
          <w:sz w:val="20"/>
        </w:rPr>
        <w:t>Révoquer ou suspendre l’identité suspecte sans publier le secret.</w:t>
      </w:r>
    </w:p>
    <w:p>
      <w:pPr>
        <w:numPr>
          <w:ilvl w:val="0"/>
          <w:numId w:val="30"/>
        </w:numPr>
        <w:spacing w:after="80" w:line="283" w:lineRule="auto"/>
      </w:pPr>
      <w:r>
        <w:rPr>
          <w:rFonts w:ascii="Arial" w:hAnsi="Arial" w:eastAsia="Arial"/>
          <w:color w:val="162019"/>
          <w:sz w:val="20"/>
        </w:rPr>
        <w:t>Identifier rôles, signatures, transactions et configurations accessibles.</w:t>
      </w:r>
    </w:p>
    <w:p>
      <w:pPr>
        <w:numPr>
          <w:ilvl w:val="0"/>
          <w:numId w:val="30"/>
        </w:numPr>
        <w:spacing w:after="80" w:line="283" w:lineRule="auto"/>
      </w:pPr>
      <w:r>
        <w:rPr>
          <w:rFonts w:ascii="Arial" w:hAnsi="Arial" w:eastAsia="Arial"/>
          <w:color w:val="162019"/>
          <w:sz w:val="20"/>
        </w:rPr>
        <w:t>Préserver journaux et empreintes avant rotation.</w:t>
      </w:r>
    </w:p>
    <w:p>
      <w:pPr>
        <w:numPr>
          <w:ilvl w:val="0"/>
          <w:numId w:val="30"/>
        </w:numPr>
        <w:spacing w:after="80" w:line="283" w:lineRule="auto"/>
      </w:pPr>
      <w:r>
        <w:rPr>
          <w:rFonts w:ascii="Arial" w:hAnsi="Arial" w:eastAsia="Arial"/>
          <w:color w:val="162019"/>
          <w:sz w:val="20"/>
        </w:rPr>
        <w:t>Créer une identité de secours selon procédure et réduire ses droits.</w:t>
      </w:r>
    </w:p>
    <w:p>
      <w:pPr>
        <w:numPr>
          <w:ilvl w:val="0"/>
          <w:numId w:val="30"/>
        </w:numPr>
        <w:spacing w:after="80" w:line="283" w:lineRule="auto"/>
      </w:pPr>
      <w:r>
        <w:rPr>
          <w:rFonts w:ascii="Arial" w:hAnsi="Arial" w:eastAsia="Arial"/>
          <w:color w:val="162019"/>
          <w:sz w:val="20"/>
        </w:rPr>
        <w:t>Réconcilier toutes les actions depuis le dernier état de confiance.</w:t>
      </w:r>
    </w:p>
    <w:p>
      <w:pPr>
        <w:numPr>
          <w:ilvl w:val="0"/>
          <w:numId w:val="30"/>
        </w:numPr>
        <w:spacing w:after="80" w:line="283" w:lineRule="auto"/>
      </w:pPr>
      <w:r>
        <w:rPr>
          <w:rFonts w:ascii="Arial" w:hAnsi="Arial" w:eastAsia="Arial"/>
          <w:color w:val="162019"/>
          <w:sz w:val="20"/>
        </w:rPr>
        <w:t>Retester révocation, rotation et administration avant reprise.</w:t>
      </w:r>
    </w:p>
    <w:p>
      <w:r>
        <w:br w:type="page"/>
      </w:r>
    </w:p>
    <w:p>
      <w:pPr>
        <w:keepNext/>
        <w:spacing w:before="440" w:after="100"/>
      </w:pPr>
      <w:r>
        <w:rPr>
          <w:rFonts w:ascii="Arial" w:hAnsi="Arial" w:eastAsia="Arial"/>
          <w:b/>
          <w:color w:val="C6A15B"/>
          <w:sz w:val="16"/>
        </w:rPr>
        <w:t>CHAPITRE 12</w:t>
      </w:r>
    </w:p>
    <w:p>
      <w:pPr>
        <w:pStyle w:val="Heading1"/>
        <w:pageBreakBefore w:val="0"/>
      </w:pPr>
      <w:r>
        <w:t>Sauvegarde, restauration et reprise</w:t>
      </w:r>
    </w:p>
    <w:p>
      <w:pPr>
        <w:pStyle w:val="Heading2"/>
      </w:pPr>
      <w:r>
        <w:t>Paramètres à décider</w:t>
      </w:r>
    </w:p>
    <w:tbl>
      <w:tblPr>
        <w:tblStyle w:val="TableGrid"/>
        <w:tblW w:type="dxa" w:w="9500"/>
        <w:jc w:val="left"/>
        <w:tblLayout w:type="fixed"/>
        <w:tblLook w:firstColumn="1" w:firstRow="1" w:lastColumn="0" w:lastRow="0" w:noHBand="0" w:noVBand="1" w:val="04A0"/>
        <w:tblInd w:w="120" w:type="dxa"/>
      </w:tblPr>
      <w:tblGrid>
        <w:gridCol w:w="1800"/>
        <w:gridCol w:w="4700"/>
        <w:gridCol w:w="30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Paramètre</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Définition</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RTO</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Temps cible de restauration par capacité</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DÉFINIR ET TESTER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RPO</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Perte de données maximale acceptable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DÉFINIR ET TESTER</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Checkpoint</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vérifié permettant une reprise cohérente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IMPLÉMENTER / PROUVER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Backup</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Copie chiffrée, séparée, retenue et contrôlée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IMPLÉMENTER / PROUVER</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Rollback</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Retour vers version ou état sûr</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TESTER</w:t>
            </w:r>
          </w:p>
        </w:tc>
      </w:tr>
    </w:tbl>
    <w:p>
      <w:pPr>
        <w:spacing w:after="40"/>
      </w:pPr>
    </w:p>
    <w:p>
      <w:pPr>
        <w:pStyle w:val="Heading2"/>
      </w:pPr>
      <w:r>
        <w:t>Procédure de restauration</w:t>
      </w:r>
    </w:p>
    <w:p>
      <w:pPr>
        <w:numPr>
          <w:ilvl w:val="0"/>
          <w:numId w:val="31"/>
        </w:numPr>
        <w:spacing w:after="80" w:line="283" w:lineRule="auto"/>
      </w:pPr>
      <w:r>
        <w:rPr>
          <w:rFonts w:ascii="Arial" w:hAnsi="Arial" w:eastAsia="Arial"/>
          <w:color w:val="162019"/>
          <w:sz w:val="20"/>
        </w:rPr>
        <w:t>Déclarer l’incident ou l’exercice et nommer l’autorité de reprise.</w:t>
      </w:r>
    </w:p>
    <w:p>
      <w:pPr>
        <w:numPr>
          <w:ilvl w:val="0"/>
          <w:numId w:val="31"/>
        </w:numPr>
        <w:spacing w:after="80" w:line="283" w:lineRule="auto"/>
      </w:pPr>
      <w:r>
        <w:rPr>
          <w:rFonts w:ascii="Arial" w:hAnsi="Arial" w:eastAsia="Arial"/>
          <w:color w:val="162019"/>
          <w:sz w:val="20"/>
        </w:rPr>
        <w:t>Geler les écritures et préserver l’état défaillant pour analyse.</w:t>
      </w:r>
    </w:p>
    <w:p>
      <w:pPr>
        <w:numPr>
          <w:ilvl w:val="0"/>
          <w:numId w:val="31"/>
        </w:numPr>
        <w:spacing w:after="80" w:line="283" w:lineRule="auto"/>
      </w:pPr>
      <w:r>
        <w:rPr>
          <w:rFonts w:ascii="Arial" w:hAnsi="Arial" w:eastAsia="Arial"/>
          <w:color w:val="162019"/>
          <w:sz w:val="20"/>
        </w:rPr>
        <w:t>Choisir une sauvegarde et vérifier date, périmètre, hash, chiffrement et compatibilité.</w:t>
      </w:r>
    </w:p>
    <w:p>
      <w:pPr>
        <w:numPr>
          <w:ilvl w:val="0"/>
          <w:numId w:val="31"/>
        </w:numPr>
        <w:spacing w:after="80" w:line="283" w:lineRule="auto"/>
      </w:pPr>
      <w:r>
        <w:rPr>
          <w:rFonts w:ascii="Arial" w:hAnsi="Arial" w:eastAsia="Arial"/>
          <w:color w:val="162019"/>
          <w:sz w:val="20"/>
        </w:rPr>
        <w:t>Restaurer dans un environnement isolé et exécuter les contrôles d’intégrité.</w:t>
      </w:r>
    </w:p>
    <w:p>
      <w:pPr>
        <w:numPr>
          <w:ilvl w:val="0"/>
          <w:numId w:val="31"/>
        </w:numPr>
        <w:spacing w:after="80" w:line="283" w:lineRule="auto"/>
      </w:pPr>
      <w:r>
        <w:rPr>
          <w:rFonts w:ascii="Arial" w:hAnsi="Arial" w:eastAsia="Arial"/>
          <w:color w:val="162019"/>
          <w:sz w:val="20"/>
        </w:rPr>
        <w:t>Comparer checkpoint, état on-chain, indexation, files et preuves.</w:t>
      </w:r>
    </w:p>
    <w:p>
      <w:pPr>
        <w:numPr>
          <w:ilvl w:val="0"/>
          <w:numId w:val="31"/>
        </w:numPr>
        <w:spacing w:after="80" w:line="283" w:lineRule="auto"/>
      </w:pPr>
      <w:r>
        <w:rPr>
          <w:rFonts w:ascii="Arial" w:hAnsi="Arial" w:eastAsia="Arial"/>
          <w:color w:val="162019"/>
          <w:sz w:val="20"/>
        </w:rPr>
        <w:t>Mesurer perte réelle, RTO/RPO obtenus et éléments non récupérables.</w:t>
      </w:r>
    </w:p>
    <w:p>
      <w:pPr>
        <w:numPr>
          <w:ilvl w:val="0"/>
          <w:numId w:val="31"/>
        </w:numPr>
        <w:spacing w:after="80" w:line="283" w:lineRule="auto"/>
      </w:pPr>
      <w:r>
        <w:rPr>
          <w:rFonts w:ascii="Arial" w:hAnsi="Arial" w:eastAsia="Arial"/>
          <w:color w:val="162019"/>
          <w:sz w:val="20"/>
        </w:rPr>
        <w:t>Autoriser une reprise progressive avec critères d’arrêt et surveillance renforcée.</w:t>
      </w:r>
    </w:p>
    <w:p>
      <w:pPr>
        <w:pStyle w:val="Heading2"/>
      </w:pPr>
      <w:r>
        <w:t>Exercices exigés avant pilote externe</w:t>
      </w:r>
    </w:p>
    <w:p>
      <w:pPr>
        <w:numPr>
          <w:ilvl w:val="0"/>
          <w:numId w:val="32"/>
        </w:numPr>
        <w:spacing w:after="80" w:line="283" w:lineRule="auto"/>
      </w:pPr>
      <w:r>
        <w:rPr>
          <w:rFonts w:ascii="Arial" w:hAnsi="Arial" w:eastAsia="Arial"/>
          <w:color w:val="162019"/>
          <w:sz w:val="20"/>
        </w:rPr>
        <w:t>révocation complète d’une clé test compromise ;</w:t>
      </w:r>
    </w:p>
    <w:p>
      <w:pPr>
        <w:numPr>
          <w:ilvl w:val="0"/>
          <w:numId w:val="32"/>
        </w:numPr>
        <w:spacing w:after="80" w:line="283" w:lineRule="auto"/>
      </w:pPr>
      <w:r>
        <w:rPr>
          <w:rFonts w:ascii="Arial" w:hAnsi="Arial" w:eastAsia="Arial"/>
          <w:color w:val="162019"/>
          <w:sz w:val="20"/>
        </w:rPr>
        <w:t>arrêt brutal d’un service et reprise depuis checkpoint ;</w:t>
      </w:r>
    </w:p>
    <w:p>
      <w:pPr>
        <w:numPr>
          <w:ilvl w:val="0"/>
          <w:numId w:val="32"/>
        </w:numPr>
        <w:spacing w:after="80" w:line="283" w:lineRule="auto"/>
      </w:pPr>
      <w:r>
        <w:rPr>
          <w:rFonts w:ascii="Arial" w:hAnsi="Arial" w:eastAsia="Arial"/>
          <w:color w:val="162019"/>
          <w:sz w:val="20"/>
        </w:rPr>
        <w:t>divergence RPC ou reorg simulé avec blocage de finalisation ;</w:t>
      </w:r>
    </w:p>
    <w:p>
      <w:pPr>
        <w:numPr>
          <w:ilvl w:val="0"/>
          <w:numId w:val="32"/>
        </w:numPr>
        <w:spacing w:after="80" w:line="283" w:lineRule="auto"/>
      </w:pPr>
      <w:r>
        <w:rPr>
          <w:rFonts w:ascii="Arial" w:hAnsi="Arial" w:eastAsia="Arial"/>
          <w:color w:val="162019"/>
          <w:sz w:val="20"/>
        </w:rPr>
        <w:t>faux PROVIDER_FAULT injecté et détecté avant conséquence ;</w:t>
      </w:r>
    </w:p>
    <w:p>
      <w:pPr>
        <w:numPr>
          <w:ilvl w:val="0"/>
          <w:numId w:val="32"/>
        </w:numPr>
        <w:spacing w:after="80" w:line="283" w:lineRule="auto"/>
      </w:pPr>
      <w:r>
        <w:rPr>
          <w:rFonts w:ascii="Arial" w:hAnsi="Arial" w:eastAsia="Arial"/>
          <w:color w:val="162019"/>
          <w:sz w:val="20"/>
        </w:rPr>
        <w:t>restauration par une personne différente de l’auteur de la sauvegarde ;</w:t>
      </w:r>
    </w:p>
    <w:p>
      <w:pPr>
        <w:numPr>
          <w:ilvl w:val="0"/>
          <w:numId w:val="32"/>
        </w:numPr>
        <w:spacing w:after="80" w:line="283" w:lineRule="auto"/>
      </w:pPr>
      <w:r>
        <w:rPr>
          <w:rFonts w:ascii="Arial" w:hAnsi="Arial" w:eastAsia="Arial"/>
          <w:color w:val="162019"/>
          <w:sz w:val="20"/>
        </w:rPr>
        <w:t>tabletop SEV-1 avec chronologie, rôles, communication et décision de reprise.</w:t>
      </w:r>
    </w:p>
    <w:p>
      <w:pPr>
        <w:spacing w:before="100" w:after="180" w:line="283" w:lineRule="auto"/>
        <w:ind w:left="227" w:right="170"/>
        <w:shd w:fill="F6F0E3"/>
        <w:pBdr>
          <w:left w:val="single" w:sz="18" w:space="8" w:color="C6A15B"/>
        </w:pBdr>
      </w:pPr>
      <w:r>
        <w:rPr>
          <w:rFonts w:ascii="Arial" w:hAnsi="Arial" w:eastAsia="Arial"/>
          <w:b/>
          <w:color w:val="C6A15B"/>
          <w:sz w:val="16"/>
        </w:rPr>
        <w:t>CRITÈRE DE VÉRITÉ</w:t>
        <w:br/>
      </w:r>
      <w:r>
        <w:rPr>
          <w:rFonts w:ascii="Arial" w:hAnsi="Arial" w:eastAsia="Arial"/>
          <w:b w:val="0"/>
          <w:color w:val="162019"/>
          <w:sz w:val="20"/>
        </w:rPr>
        <w:t>Une sauvegarde non restaurée, un rollback non exécuté ou une clé de secours non testée ne constitue pas une capacité opérationnelle.</w:t>
      </w:r>
    </w:p>
    <w:p>
      <w:r>
        <w:br w:type="page"/>
      </w:r>
    </w:p>
    <w:p>
      <w:pPr>
        <w:keepNext/>
        <w:spacing w:before="440" w:after="100"/>
      </w:pPr>
      <w:r>
        <w:rPr>
          <w:rFonts w:ascii="Arial" w:hAnsi="Arial" w:eastAsia="Arial"/>
          <w:b/>
          <w:color w:val="C6A15B"/>
          <w:sz w:val="16"/>
        </w:rPr>
        <w:t>CHAPITRE 13</w:t>
      </w:r>
    </w:p>
    <w:p>
      <w:pPr>
        <w:pStyle w:val="Heading1"/>
        <w:pageBreakBefore w:val="0"/>
      </w:pPr>
      <w:r>
        <w:t>Registres, checklists et approbation</w:t>
      </w:r>
    </w:p>
    <w:p>
      <w:pPr>
        <w:pStyle w:val="Heading2"/>
      </w:pPr>
      <w:r>
        <w:t>Registres à maintenir</w:t>
      </w:r>
    </w:p>
    <w:tbl>
      <w:tblPr>
        <w:tblStyle w:val="TableGrid"/>
        <w:tblW w:type="dxa" w:w="9500"/>
        <w:jc w:val="left"/>
        <w:tblLayout w:type="fixed"/>
        <w:tblLook w:firstColumn="1" w:firstRow="1" w:lastColumn="0" w:lastRow="0" w:noHBand="0" w:noVBand="1" w:val="04A0"/>
        <w:tblInd w:w="120" w:type="dxa"/>
      </w:tblPr>
      <w:tblGrid>
        <w:gridCol w:w="1400"/>
        <w:gridCol w:w="5900"/>
        <w:gridCol w:w="2200"/>
      </w:tblGrid>
      <w:tr>
        <w:trPr>
          <w:tblHeader w:val="true"/>
          <w:cantSplit/>
        </w:trPr>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Réf.</w:t>
            </w:r>
          </w:p>
        </w:tc>
        <w:tc>
          <w:tcPr>
            <w:tcW w:type="dxa" w:w="5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Registre</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OPS-01</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Inventaire des services, versions, propriétaires et dépendances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OPS-02</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Journal des sessions et passations</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OPS-03</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Catalogue des alertes et tests de déclenchement</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OPS-04</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des changements, fenêtres et rollbacks</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OPS-05</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Base Sepolia : contrats, rôles et transactions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RÉCONCILIER</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OPS-06</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des sauvegardes, restaurations et exercices</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OPS-07</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des incidents et retours d’expérience</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OPS-08</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Matrice d’escalade et coordonnées contrôlées</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bl>
    <w:p>
      <w:pPr>
        <w:spacing w:after="40"/>
      </w:pPr>
    </w:p>
    <w:p>
      <w:pPr>
        <w:pStyle w:val="Heading2"/>
      </w:pPr>
      <w:r>
        <w:t>Checklist go/no-go opérationnel</w:t>
      </w:r>
    </w:p>
    <w:tbl>
      <w:tblPr>
        <w:tblStyle w:val="TableGrid"/>
        <w:tblW w:type="dxa" w:w="9500"/>
        <w:jc w:val="left"/>
        <w:tblLayout w:type="fixed"/>
        <w:tblLook w:firstColumn="1" w:firstRow="1" w:lastColumn="0" w:lastRow="0" w:noHBand="0" w:noVBand="1" w:val="04A0"/>
        <w:tblInd w:w="120" w:type="dxa"/>
      </w:tblPr>
      <w:tblGrid>
        <w:gridCol w:w="1300"/>
        <w:gridCol w:w="5100"/>
        <w:gridCol w:w="31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Gate</w:t>
            </w:r>
          </w:p>
        </w:tc>
        <w:tc>
          <w:tcPr>
            <w:tcW w:type="dxa" w:w="5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Condition</w:t>
            </w:r>
          </w:p>
        </w:tc>
        <w:tc>
          <w:tcPr>
            <w:tcW w:type="dxa" w:w="3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G1</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Inventaire, candidate, build et adresses réconciliés</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NO-GO tant que non prouvé</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G2</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E2E-01 à E2E-06 et V-01 à V-07 produits et liés</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NO-GO tant que manquants</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G3</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Alertes, accès, révocation et runbooks testés</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NO-GO tant que non testés</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G4</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Restauration et rollback démontrés</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NO-GO tant que non exercés</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G5</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Audit indépendant traité</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NO-GO pour exposition critique</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G6</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Avis juridique écrit</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NO-GO pour token ou activation économique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G7</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Capacité support et communication réalistes</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NO-GO pour engagement externe</w:t>
            </w:r>
          </w:p>
        </w:tc>
      </w:tr>
    </w:tbl>
    <w:p>
      <w:pPr>
        <w:spacing w:after="40"/>
      </w:pPr>
    </w:p>
    <w:p>
      <w:pPr>
        <w:pStyle w:val="Heading2"/>
      </w:pPr>
      <w:r>
        <w:t>Modèle de visa</w:t>
      </w:r>
    </w:p>
    <w:tbl>
      <w:tblPr>
        <w:tblStyle w:val="TableGrid"/>
        <w:tblW w:type="dxa" w:w="9500"/>
        <w:jc w:val="left"/>
        <w:tblLayout w:type="fixed"/>
        <w:tblLook w:firstColumn="1" w:firstRow="1" w:lastColumn="0" w:lastRow="0" w:noHBand="0" w:noVBand="1" w:val="04A0"/>
        <w:tblInd w:w="120" w:type="dxa"/>
      </w:tblPr>
      <w:tblGrid>
        <w:gridCol w:w="2400"/>
        <w:gridCol w:w="2200"/>
        <w:gridCol w:w="3200"/>
        <w:gridCol w:w="1700"/>
      </w:tblGrid>
      <w:tr>
        <w:trPr>
          <w:tblHeader w:val="true"/>
          <w:cantSplit/>
        </w:trPr>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w:t>
            </w:r>
          </w:p>
        </w:tc>
        <w:tc>
          <w:tcPr>
            <w:tcW w:type="dxa" w:w="32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Décision / signature</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Operations owner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SIGNER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Responsable technique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SIGNER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Security owner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SIGNER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Direction Pacturion</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APPROUVÉ / À RÉVISER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CLÔTURE V1.0</w:t>
        <w:br/>
      </w:r>
      <w:r>
        <w:rPr>
          <w:rFonts w:ascii="Arial" w:hAnsi="Arial" w:eastAsia="Arial"/>
          <w:b w:val="0"/>
          <w:color w:val="162019"/>
          <w:sz w:val="20"/>
        </w:rPr>
        <w:t>Le manuel est exploitable comme référentiel de préparation. Il devient une preuve d’exploitation uniquement lorsque ses rôles, commandes, seuils, adresses, tests, journaux et exercices réels sont renseignés et annexés.</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EXPLOITATION V1.0</w:t>
    </w:r>
    <w:r>
      <w:rPr>
        <w:rFonts w:ascii="Arial" w:hAnsi="Arial" w:eastAsia="Arial"/>
        <w:b/>
        <w:color w:val="C6A15B"/>
        <w:sz w:val="14"/>
      </w:rPr>
      <w:tab/>
      <w:t xml:space="preserve">MANUEL CONTRÔLÉ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EXPLOITATION ET RUNBOOKS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bullet"/>
      <w:lvlText w:val="•"/>
      <w:suff w:val="tab"/>
      <w:pPr>
        <w:tabs>
          <w:tab w:val="num" w:pos="540"/>
        </w:tabs>
        <w:ind w:left="540" w:hanging="270"/>
      </w:pPr>
      <w:rPr>
        <w:color w:val="C6A15B"/>
      </w:rPr>
    </w:lvl>
  </w:abstractNum>
  <w:num w:numId="17">
    <w:abstractNumId w:val="16"/>
  </w:num>
  <w:abstractNum w:abstractNumId="17">
    <w:multiLevelType w:val="singleLevel"/>
    <w:lvl w:ilvl="0">
      <w:start w:val="1"/>
      <w:numFmt w:val="decimal"/>
      <w:lvlText w:val="%1."/>
      <w:suff w:val="tab"/>
      <w:pPr>
        <w:tabs>
          <w:tab w:val="num" w:pos="540"/>
        </w:tabs>
        <w:ind w:left="540" w:hanging="270"/>
      </w:pPr>
      <w:rPr>
        <w:color w:val="155A3E"/>
      </w:rPr>
    </w:lvl>
  </w:abstractNum>
  <w:num w:numId="18">
    <w:abstractNumId w:val="17"/>
  </w:num>
  <w:abstractNum w:abstractNumId="18">
    <w:multiLevelType w:val="singleLevel"/>
    <w:lvl w:ilvl="0">
      <w:start w:val="1"/>
      <w:numFmt w:val="decimal"/>
      <w:lvlText w:val="%1."/>
      <w:suff w:val="tab"/>
      <w:pPr>
        <w:tabs>
          <w:tab w:val="num" w:pos="540"/>
        </w:tabs>
        <w:ind w:left="540" w:hanging="270"/>
      </w:pPr>
      <w:rPr>
        <w:color w:val="155A3E"/>
      </w:rPr>
    </w:lvl>
  </w:abstractNum>
  <w:num w:numId="19">
    <w:abstractNumId w:val="18"/>
  </w:num>
  <w:abstractNum w:abstractNumId="19">
    <w:multiLevelType w:val="singleLevel"/>
    <w:lvl w:ilvl="0">
      <w:start w:val="1"/>
      <w:numFmt w:val="decimal"/>
      <w:lvlText w:val="%1."/>
      <w:suff w:val="tab"/>
      <w:pPr>
        <w:tabs>
          <w:tab w:val="num" w:pos="540"/>
        </w:tabs>
        <w:ind w:left="540" w:hanging="270"/>
      </w:pPr>
      <w:rPr>
        <w:color w:val="155A3E"/>
      </w:rPr>
    </w:lvl>
  </w:abstractNum>
  <w:num w:numId="20">
    <w:abstractNumId w:val="19"/>
  </w:num>
  <w:abstractNum w:abstractNumId="20">
    <w:multiLevelType w:val="singleLevel"/>
    <w:lvl w:ilvl="0">
      <w:start w:val="1"/>
      <w:numFmt w:val="bullet"/>
      <w:lvlText w:val="•"/>
      <w:suff w:val="tab"/>
      <w:pPr>
        <w:tabs>
          <w:tab w:val="num" w:pos="540"/>
        </w:tabs>
        <w:ind w:left="540" w:hanging="270"/>
      </w:pPr>
      <w:rPr>
        <w:color w:val="C6A15B"/>
      </w:rPr>
    </w:lvl>
  </w:abstractNum>
  <w:num w:numId="21">
    <w:abstractNumId w:val="20"/>
  </w:num>
  <w:abstractNum w:abstractNumId="21">
    <w:multiLevelType w:val="singleLevel"/>
    <w:lvl w:ilvl="0">
      <w:start w:val="1"/>
      <w:numFmt w:val="decimal"/>
      <w:lvlText w:val="%1."/>
      <w:suff w:val="tab"/>
      <w:pPr>
        <w:tabs>
          <w:tab w:val="num" w:pos="540"/>
        </w:tabs>
        <w:ind w:left="540" w:hanging="270"/>
      </w:pPr>
      <w:rPr>
        <w:color w:val="155A3E"/>
      </w:rPr>
    </w:lvl>
  </w:abstractNum>
  <w:num w:numId="22">
    <w:abstractNumId w:val="21"/>
  </w:num>
  <w:abstractNum w:abstractNumId="22">
    <w:multiLevelType w:val="singleLevel"/>
    <w:lvl w:ilvl="0">
      <w:start w:val="1"/>
      <w:numFmt w:val="bullet"/>
      <w:lvlText w:val="•"/>
      <w:suff w:val="tab"/>
      <w:pPr>
        <w:tabs>
          <w:tab w:val="num" w:pos="540"/>
        </w:tabs>
        <w:ind w:left="540" w:hanging="270"/>
      </w:pPr>
      <w:rPr>
        <w:color w:val="C6A15B"/>
      </w:rPr>
    </w:lvl>
  </w:abstractNum>
  <w:num w:numId="23">
    <w:abstractNumId w:val="22"/>
  </w:num>
  <w:abstractNum w:abstractNumId="23">
    <w:multiLevelType w:val="singleLevel"/>
    <w:lvl w:ilvl="0">
      <w:start w:val="1"/>
      <w:numFmt w:val="decimal"/>
      <w:lvlText w:val="%1."/>
      <w:suff w:val="tab"/>
      <w:pPr>
        <w:tabs>
          <w:tab w:val="num" w:pos="540"/>
        </w:tabs>
        <w:ind w:left="540" w:hanging="270"/>
      </w:pPr>
      <w:rPr>
        <w:color w:val="155A3E"/>
      </w:rPr>
    </w:lvl>
  </w:abstractNum>
  <w:num w:numId="24">
    <w:abstractNumId w:val="23"/>
  </w:num>
  <w:abstractNum w:abstractNumId="24">
    <w:multiLevelType w:val="singleLevel"/>
    <w:lvl w:ilvl="0">
      <w:start w:val="1"/>
      <w:numFmt w:val="decimal"/>
      <w:lvlText w:val="%1."/>
      <w:suff w:val="tab"/>
      <w:pPr>
        <w:tabs>
          <w:tab w:val="num" w:pos="540"/>
        </w:tabs>
        <w:ind w:left="540" w:hanging="270"/>
      </w:pPr>
      <w:rPr>
        <w:color w:val="155A3E"/>
      </w:rPr>
    </w:lvl>
  </w:abstractNum>
  <w:num w:numId="25">
    <w:abstractNumId w:val="24"/>
  </w:num>
  <w:abstractNum w:abstractNumId="25">
    <w:multiLevelType w:val="singleLevel"/>
    <w:lvl w:ilvl="0">
      <w:start w:val="1"/>
      <w:numFmt w:val="decimal"/>
      <w:lvlText w:val="%1."/>
      <w:suff w:val="tab"/>
      <w:pPr>
        <w:tabs>
          <w:tab w:val="num" w:pos="540"/>
        </w:tabs>
        <w:ind w:left="540" w:hanging="270"/>
      </w:pPr>
      <w:rPr>
        <w:color w:val="155A3E"/>
      </w:rPr>
    </w:lvl>
  </w:abstractNum>
  <w:num w:numId="26">
    <w:abstractNumId w:val="25"/>
  </w:num>
  <w:abstractNum w:abstractNumId="26">
    <w:multiLevelType w:val="singleLevel"/>
    <w:lvl w:ilvl="0">
      <w:start w:val="1"/>
      <w:numFmt w:val="decimal"/>
      <w:lvlText w:val="%1."/>
      <w:suff w:val="tab"/>
      <w:pPr>
        <w:tabs>
          <w:tab w:val="num" w:pos="540"/>
        </w:tabs>
        <w:ind w:left="540" w:hanging="270"/>
      </w:pPr>
      <w:rPr>
        <w:color w:val="155A3E"/>
      </w:rPr>
    </w:lvl>
  </w:abstractNum>
  <w:num w:numId="27">
    <w:abstractNumId w:val="26"/>
  </w:num>
  <w:abstractNum w:abstractNumId="27">
    <w:multiLevelType w:val="singleLevel"/>
    <w:lvl w:ilvl="0">
      <w:start w:val="1"/>
      <w:numFmt w:val="decimal"/>
      <w:lvlText w:val="%1."/>
      <w:suff w:val="tab"/>
      <w:pPr>
        <w:tabs>
          <w:tab w:val="num" w:pos="540"/>
        </w:tabs>
        <w:ind w:left="540" w:hanging="270"/>
      </w:pPr>
      <w:rPr>
        <w:color w:val="155A3E"/>
      </w:rPr>
    </w:lvl>
  </w:abstractNum>
  <w:num w:numId="28">
    <w:abstractNumId w:val="27"/>
  </w:num>
  <w:abstractNum w:abstractNumId="28">
    <w:multiLevelType w:val="singleLevel"/>
    <w:lvl w:ilvl="0">
      <w:start w:val="1"/>
      <w:numFmt w:val="decimal"/>
      <w:lvlText w:val="%1."/>
      <w:suff w:val="tab"/>
      <w:pPr>
        <w:tabs>
          <w:tab w:val="num" w:pos="540"/>
        </w:tabs>
        <w:ind w:left="540" w:hanging="270"/>
      </w:pPr>
      <w:rPr>
        <w:color w:val="155A3E"/>
      </w:rPr>
    </w:lvl>
  </w:abstractNum>
  <w:num w:numId="29">
    <w:abstractNumId w:val="28"/>
  </w:num>
  <w:abstractNum w:abstractNumId="29">
    <w:multiLevelType w:val="singleLevel"/>
    <w:lvl w:ilvl="0">
      <w:start w:val="1"/>
      <w:numFmt w:val="decimal"/>
      <w:lvlText w:val="%1."/>
      <w:suff w:val="tab"/>
      <w:pPr>
        <w:tabs>
          <w:tab w:val="num" w:pos="540"/>
        </w:tabs>
        <w:ind w:left="540" w:hanging="270"/>
      </w:pPr>
      <w:rPr>
        <w:color w:val="155A3E"/>
      </w:rPr>
    </w:lvl>
  </w:abstractNum>
  <w:num w:numId="30">
    <w:abstractNumId w:val="29"/>
  </w:num>
  <w:abstractNum w:abstractNumId="30">
    <w:multiLevelType w:val="singleLevel"/>
    <w:lvl w:ilvl="0">
      <w:start w:val="1"/>
      <w:numFmt w:val="decimal"/>
      <w:lvlText w:val="%1."/>
      <w:suff w:val="tab"/>
      <w:pPr>
        <w:tabs>
          <w:tab w:val="num" w:pos="540"/>
        </w:tabs>
        <w:ind w:left="540" w:hanging="270"/>
      </w:pPr>
      <w:rPr>
        <w:color w:val="155A3E"/>
      </w:rPr>
    </w:lvl>
  </w:abstractNum>
  <w:num w:numId="31">
    <w:abstractNumId w:val="30"/>
  </w:num>
  <w:abstractNum w:abstractNumId="31">
    <w:multiLevelType w:val="singleLevel"/>
    <w:lvl w:ilvl="0">
      <w:start w:val="1"/>
      <w:numFmt w:val="bullet"/>
      <w:lvlText w:val="•"/>
      <w:suff w:val="tab"/>
      <w:pPr>
        <w:tabs>
          <w:tab w:val="num" w:pos="540"/>
        </w:tabs>
        <w:ind w:left="540" w:hanging="270"/>
      </w:pPr>
      <w:rPr>
        <w:color w:val="C6A15B"/>
      </w:rPr>
    </w:lvl>
  </w:abstract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Manuel d’exploitation et runbooks V1.0</dc:title>
  <dc:subject>Procédures d’exploitation contrôlée pour ALPHA et VERIDIA Protocol</dc:subject>
  <dc:creator>Pacturion</dc:creator>
  <cp:keywords>Pacturion, VERIDIA Protocol, ALPHA, exploitation, runbook, testnet, Base Sepolia, reprise</cp:keywords>
  <dc:description>Cible à tester — aucun mainnet, fonds réel ou activation économique autorisé</dc:description>
  <cp:lastModifiedBy/>
  <cp:revision>1</cp:revision>
  <dcterms:created xsi:type="dcterms:W3CDTF">2013-12-23T23:15:00Z</dcterms:created>
  <dcterms:modified xsi:type="dcterms:W3CDTF">2013-12-23T23:15:00Z</dcterms:modified>
  <cp:category/>
</cp:coreProperties>
</file>