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6336000" cy="1072762"/>
            <wp:docPr id="1" name="Picture 1" descr="Bannière Pacturion dorée sur fond somb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10727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Arial" w:hAnsi="Arial" w:eastAsia="Arial"/>
          <w:b/>
          <w:color w:val="06110B"/>
          <w:sz w:val="37"/>
        </w:rPr>
        <w:t>DES ENGAGEMENTS PLUS CLAIRS. DES PREUVES PLUS EXPLOITABLES.</w:t>
      </w:r>
    </w:p>
    <w:p>
      <w:pPr>
        <w:spacing w:after="140"/>
      </w:pPr>
      <w:r>
        <w:rPr>
          <w:rFonts w:ascii="Arial" w:hAnsi="Arial" w:eastAsia="Arial"/>
          <w:color w:val="155A3E"/>
          <w:sz w:val="20"/>
        </w:rPr>
        <w:t>Pacturion transforme un workflow d’engagement en règles, preuves et décisions traçables — puis vérifie sa valeur dans un pilote contrôlé.</w:t>
      </w:r>
    </w:p>
    <w:tbl>
      <w:tblPr>
        <w:tblStyle w:val="TableGrid"/>
        <w:tblW w:type="dxa" w:w="950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750"/>
        <w:gridCol w:w="4750"/>
      </w:tblGrid>
      <w:tr>
        <w:trPr>
          <w:tblHeader w:val="true"/>
          <w:cantSplit/>
        </w:trPr>
        <w:tc>
          <w:tcPr>
            <w:tcW w:type="dxa" w:w="475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LE PROBLÈME</w:t>
            </w:r>
          </w:p>
        </w:tc>
        <w:tc>
          <w:tcPr>
            <w:tcW w:type="dxa" w:w="475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LA RÉPONSE PACTURION</w:t>
            </w:r>
          </w:p>
        </w:tc>
      </w:tr>
      <w:tr>
        <w:trPr>
          <w:cantSplit/>
        </w:trPr>
        <w:tc>
          <w:tcPr>
            <w:tcW w:type="dxa" w:w="47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5"/>
              </w:rPr>
              <w:t>Entre plusieurs acteurs, obligations, échéances et preuves restent souvent dispersées. La décision finale devient difficile à reproduire ou contester proprement.</w:t>
            </w:r>
          </w:p>
        </w:tc>
        <w:tc>
          <w:tcPr>
            <w:tcW w:type="dxa" w:w="47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5"/>
              </w:rPr>
              <w:t>Les conditions sont définies avant l’exécution. Les sources admises sont identifiées. La décision reste bornée par la preuve et un historique permet de reconstruire le chemin suivi.</w:t>
            </w:r>
          </w:p>
        </w:tc>
      </w:tr>
    </w:tbl>
    <w:p>
      <w:pPr>
        <w:spacing w:after="40"/>
      </w:pPr>
    </w:p>
    <w:p>
      <w:pPr>
        <w:pStyle w:val="Heading2"/>
      </w:pPr>
      <w:r>
        <w:t>Comment fonctionne le pilote</w:t>
      </w:r>
    </w:p>
    <w:tbl>
      <w:tblPr>
        <w:tblStyle w:val="TableGrid"/>
        <w:tblW w:type="dxa" w:w="950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167"/>
        <w:gridCol w:w="3166"/>
        <w:gridCol w:w="3167"/>
      </w:tblGrid>
      <w:tr>
        <w:trPr>
          <w:tblHeader w:val="true"/>
          <w:cantSplit/>
        </w:trPr>
        <w:tc>
          <w:tcPr>
            <w:tcW w:type="dxa" w:w="3167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1 — CADRER</w:t>
            </w:r>
          </w:p>
        </w:tc>
        <w:tc>
          <w:tcPr>
            <w:tcW w:type="dxa" w:w="3166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2 — TESTER</w:t>
            </w:r>
          </w:p>
        </w:tc>
        <w:tc>
          <w:tcPr>
            <w:tcW w:type="dxa" w:w="3167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3 — DÉCIDER</w:t>
            </w:r>
          </w:p>
        </w:tc>
      </w:tr>
      <w:tr>
        <w:trPr>
          <w:cantSplit/>
        </w:trPr>
        <w:tc>
          <w:tcPr>
            <w:tcW w:type="dxa" w:w="3167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5"/>
              </w:rPr>
              <w:t>Un workflow, ses acteurs, cinq cas et les critères de succès.</w:t>
            </w:r>
          </w:p>
        </w:tc>
        <w:tc>
          <w:tcPr>
            <w:tcW w:type="dxa" w:w="316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5"/>
              </w:rPr>
              <w:t>Quatre semaines sur Base Sepolia, sans fonds réels ni effet de production.</w:t>
            </w:r>
          </w:p>
        </w:tc>
        <w:tc>
          <w:tcPr>
            <w:tcW w:type="dxa" w:w="3167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5"/>
              </w:rPr>
              <w:t>Restitution factuelle et verdict GO, PIVOT ou NO-GO.</w:t>
            </w:r>
          </w:p>
        </w:tc>
      </w:tr>
    </w:tbl>
    <w:p>
      <w:pPr>
        <w:spacing w:after="40"/>
      </w:pPr>
    </w:p>
    <w:p>
      <w:pPr>
        <w:pStyle w:val="Heading2"/>
      </w:pPr>
      <w:r>
        <w:t>Ce que le partenaire obtient</w:t>
      </w:r>
    </w:p>
    <w:tbl>
      <w:tblPr>
        <w:tblStyle w:val="TableGrid"/>
        <w:tblW w:type="dxa" w:w="950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750"/>
        <w:gridCol w:w="4750"/>
      </w:tblGrid>
      <w:tr>
        <w:trPr>
          <w:tblHeader w:val="true"/>
          <w:cantSplit/>
        </w:trPr>
        <w:tc>
          <w:tcPr>
            <w:tcW w:type="dxa" w:w="475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LIVRABLES</w:t>
            </w:r>
          </w:p>
        </w:tc>
        <w:tc>
          <w:tcPr>
            <w:tcW w:type="dxa" w:w="4750"/>
            <w:shd w:fill="0D3A2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7"/>
              </w:rPr>
              <w:t>GARDE-FOUS</w:t>
            </w:r>
          </w:p>
        </w:tc>
      </w:tr>
      <w:tr>
        <w:trPr>
          <w:cantSplit/>
        </w:trPr>
        <w:tc>
          <w:tcPr>
            <w:tcW w:type="dxa" w:w="47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5"/>
              </w:rPr>
              <w:t>Cartographie du workflow • règles et preuves explicites • journal des écarts • dossier de résultats • recommandation de suite.</w:t>
            </w:r>
          </w:p>
        </w:tc>
        <w:tc>
          <w:tcPr>
            <w:tcW w:type="dxa" w:w="47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162019"/>
                <w:sz w:val="15"/>
              </w:rPr>
              <w:t>Testnet-only • données minimisées • aucun token obligatoire • aucun rendement • aucun audit ou résultat présenté comme acquis.</w:t>
            </w:r>
          </w:p>
        </w:tc>
      </w:tr>
    </w:tbl>
    <w:p>
      <w:pPr>
        <w:spacing w:after="40"/>
      </w:pPr>
    </w:p>
    <w:p>
      <w:pPr>
        <w:spacing w:before="100" w:after="180" w:line="283" w:lineRule="auto"/>
        <w:ind w:left="227" w:right="170"/>
        <w:shd w:fill="EDF3EF"/>
        <w:pBdr>
          <w:left w:val="single" w:sz="18" w:space="8" w:color="155A3E"/>
        </w:pBdr>
      </w:pPr>
      <w:r>
        <w:rPr>
          <w:rFonts w:ascii="Arial" w:hAnsi="Arial" w:eastAsia="Arial"/>
          <w:b/>
          <w:color w:val="155A3E"/>
          <w:sz w:val="16"/>
        </w:rPr>
        <w:t>PARTENAIRE RECHERCHÉ</w:t>
        <w:br/>
      </w:r>
      <w:r>
        <w:rPr>
          <w:rFonts w:ascii="Arial" w:hAnsi="Arial" w:eastAsia="Arial"/>
          <w:b w:val="0"/>
          <w:color w:val="162019"/>
          <w:sz w:val="20"/>
        </w:rPr>
        <w:t>Une organisation disposant d’un workflow réel, d’un décideur accessible et d’un cas testable sans fonds réels ni données sensibles.</w:t>
      </w:r>
    </w:p>
    <w:p>
      <w:pPr>
        <w:spacing w:before="60" w:after="0"/>
      </w:pPr>
      <w:r>
        <w:rPr>
          <w:rFonts w:ascii="Arial" w:hAnsi="Arial" w:eastAsia="Arial"/>
          <w:b/>
          <w:color w:val="C6A15B"/>
          <w:sz w:val="18"/>
        </w:rPr>
        <w:t xml:space="preserve">PROCHAIN PAS  </w:t>
      </w:r>
      <w:r>
        <w:rPr>
          <w:rFonts w:ascii="Arial" w:hAnsi="Arial" w:eastAsia="Arial"/>
          <w:b/>
          <w:color w:val="162019"/>
          <w:sz w:val="18"/>
        </w:rPr>
        <w:t>Entretien de découverte de 25 minutes — contact : [EMAIL À CONFIRMER] — pacturion.com</w:t>
      </w:r>
    </w:p>
    <w:p>
      <w:pPr>
        <w:spacing w:before="40" w:after="0"/>
      </w:pPr>
      <w:r>
        <w:rPr>
          <w:rFonts w:ascii="Arial" w:hAnsi="Arial" w:eastAsia="Arial"/>
          <w:color w:val="66736B"/>
          <w:sz w:val="14"/>
        </w:rPr>
        <w:t>Statut : projet en validation • Release Candidate validé en interne • audit indépendant non réalisé • aucune mise en production autorisée.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80" w:right="1134" w:bottom="680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  <w:tab w:pos="9411" w:val="right"/>
      </w:tabs>
      <w:jc w:val="right"/>
    </w:pPr>
    <w:r>
      <w:rPr>
        <w:rFonts w:ascii="Arial" w:hAnsi="Arial" w:eastAsia="Arial"/>
        <w:color w:val="66736B"/>
        <w:sz w:val="14"/>
      </w:rPr>
      <w:t>PACTURION — ONE-PAGER V1.0</w:t>
    </w:r>
    <w:r>
      <w:rPr>
        <w:rFonts w:ascii="Arial" w:hAnsi="Arial" w:eastAsia="Arial"/>
        <w:b/>
        <w:color w:val="C6A15B"/>
        <w:sz w:val="14"/>
      </w:rPr>
      <w:tab/>
      <w:t xml:space="preserve">DOCUMENT CONTRÔLÉ  •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 w:eastAsia="Arial"/>
        <w:b/>
        <w:color w:val="66736B"/>
        <w:sz w:val="15"/>
      </w:rPr>
      <w:t>PACTURION   |   PRÉSENTATION SYNTHÉTIQUE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</w:pPr>
      <w:rPr>
        <w:color w:val="C6A15B"/>
      </w:r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</w:pPr>
      <w:rPr>
        <w:color w:val="155A3E"/>
      </w:r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</w:pPr>
      <w:rPr>
        <w:color w:val="155A3E"/>
      </w:rPr>
    </w:lvl>
  </w:abstractNum>
  <w:num w:numId="12">
    <w:abstractNumId w:val="11"/>
  </w:num>
  <w:abstractNum w:abstractNumId="12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</w:pPr>
      <w:rPr>
        <w:color w:val="155A3E"/>
      </w:rPr>
    </w:lvl>
  </w:abstractNum>
  <w:num w:numId="13">
    <w:abstractNumId w:val="12"/>
  </w:num>
  <w:abstractNum w:abstractNumId="13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</w:pPr>
      <w:rPr>
        <w:color w:val="155A3E"/>
      </w:rPr>
    </w:lvl>
  </w:abstractNum>
  <w:num w:numId="14">
    <w:abstractNumId w:val="13"/>
  </w:num>
  <w:abstractNum w:abstractNumId="14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</w:pPr>
      <w:rPr>
        <w:color w:val="155A3E"/>
      </w:rPr>
    </w:lvl>
  </w:abstract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40" w:line="307" w:lineRule="auto"/>
    </w:pPr>
    <w:rPr>
      <w:rFonts w:ascii="Arial" w:hAnsi="Arial"/>
      <w:color w:val="16201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rial" w:hAnsi="Arial"/>
      <w:b/>
      <w:bCs/>
      <w:color w:val="06110B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D3A28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155A3E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eur-lex.europa.eu/eli/reg/2023/1114/oj" TargetMode="External"/><Relationship Id="rId13" Type="http://schemas.openxmlformats.org/officeDocument/2006/relationships/hyperlink" Target="https://docs.openzeppelin.com/contracts/5.x/governance" TargetMode="External"/><Relationship Id="rId14" Type="http://schemas.openxmlformats.org/officeDocument/2006/relationships/hyperlink" Target="https://docs.base.org/base-chain/network-information/" TargetMode="External"/><Relationship Id="rId15" Type="http://schemas.openxmlformats.org/officeDocument/2006/relationships/hyperlink" Target="https://www.amf-france.org/fr/espace-professionnels/fintech/mes-relations-avec-lamf/emission-admission-de-crypto-actifs" TargetMode="External"/><Relationship Id="rId16" Type="http://schemas.openxmlformats.org/officeDocument/2006/relationships/hyperlink" Target="https://eips.ethereum.org/EIPS/eip-20" TargetMode="External"/><Relationship Id="rId17" Type="http://schemas.openxmlformats.org/officeDocument/2006/relationships/hyperlink" Target="https://eips.ethereum.org/EIPS/eip-712" TargetMode="External"/><Relationship Id="rId18" Type="http://schemas.openxmlformats.org/officeDocument/2006/relationships/hyperlink" Target="https://eips.ethereum.org/EIPS/eip-12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Pacturion — One-pager commercial V1.0</dc:title>
  <dc:subject>Documentation Pacturion V1.0</dc:subject>
  <dc:creator>Pacturion</dc:creator>
  <cp:keywords>Pacturion, VERIDIA Protocol, engagements vérifiables, ALPHA, BCS, Base</cp:keywords>
  <dc:description>Document de travail contrôlé — ne constitue pas une offre au public.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