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8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6"/>
        </w:rPr>
        <w:t>PACK JURIDIQUE DU SITE PACTURION</w:t>
      </w:r>
    </w:p>
    <w:p>
      <w:pPr>
        <w:spacing w:after="160"/>
      </w:pPr>
      <w:r>
        <w:rPr>
          <w:rFonts w:ascii="Arial" w:hAnsi="Arial" w:eastAsia="Arial"/>
          <w:color w:val="155A3E"/>
          <w:sz w:val="33"/>
        </w:rPr>
        <w:t>Textes, mentions et plan d’intégration V1.0</w:t>
      </w:r>
    </w:p>
    <w:p>
      <w:pPr>
        <w:spacing w:after="400"/>
      </w:pPr>
      <w:r>
        <w:rPr>
          <w:rFonts w:ascii="Arial" w:hAnsi="Arial" w:eastAsia="Arial"/>
          <w:color w:val="162019"/>
          <w:sz w:val="22"/>
        </w:rPr>
        <w:t>Informer clairement sans transformer une recherche testnet en offre financière ou en promesse de conformité.</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COMPLÉTER AVANT PUBLICATION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BLOCAGE ACTUEL</w:t>
        <w:br/>
      </w:r>
      <w:r>
        <w:rPr>
          <w:rFonts w:ascii="Arial" w:hAnsi="Arial" w:eastAsia="Arial"/>
          <w:b w:val="0"/>
          <w:color w:val="162019"/>
          <w:sz w:val="20"/>
        </w:rPr>
        <w:t>Les informations d’identité juridique, d’immatriculation, de siège, de capital, de téléphone et d’hébergement ne sont pas toutes établies. Les zones [À RENSEIGNER] doivent être complétées et contrôlées avant mise en ligne.</w:t>
      </w:r>
    </w:p>
    <w:p>
      <w:pPr>
        <w:spacing w:before="100" w:after="180" w:line="283" w:lineRule="auto"/>
        <w:ind w:left="227" w:right="170"/>
        <w:shd w:fill="EDF3EF"/>
        <w:pBdr>
          <w:left w:val="single" w:sz="18" w:space="8" w:color="155A3E"/>
        </w:pBdr>
      </w:pPr>
      <w:r>
        <w:rPr>
          <w:rFonts w:ascii="Arial" w:hAnsi="Arial" w:eastAsia="Arial"/>
          <w:b/>
          <w:color w:val="155A3E"/>
          <w:sz w:val="16"/>
        </w:rPr>
        <w:t>PÉRIMÈTRE</w:t>
        <w:br/>
      </w:r>
      <w:r>
        <w:rPr>
          <w:rFonts w:ascii="Arial" w:hAnsi="Arial" w:eastAsia="Arial"/>
          <w:b w:val="0"/>
          <w:color w:val="162019"/>
          <w:sz w:val="20"/>
        </w:rPr>
        <w:t>Ce pack couvre un site institutionnel et de recherche sans vente, souscription, émission de token, service sur crypto-actifs, mainnet ni fonds réels. Toute activation de l’un de ces éléments exige une nouvelle analyse.</w:t>
      </w:r>
    </w:p>
    <w:p>
      <w:r>
        <w:br w:type="page"/>
      </w:r>
    </w:p>
    <w:p>
      <w:pPr>
        <w:keepNext/>
        <w:spacing w:before="440" w:after="100"/>
      </w:pPr>
      <w:r>
        <w:rPr>
          <w:rFonts w:ascii="Arial" w:hAnsi="Arial" w:eastAsia="Arial"/>
          <w:b/>
          <w:color w:val="C6A15B"/>
          <w:sz w:val="16"/>
        </w:rPr>
        <w:t>CHAPITRE 00</w:t>
      </w:r>
    </w:p>
    <w:p>
      <w:pPr>
        <w:pStyle w:val="Heading1"/>
        <w:pageBreakBefore w:val="0"/>
      </w:pPr>
      <w:r>
        <w:t>Mode d’emploi et état de publication</w:t>
      </w:r>
    </w:p>
    <w:tbl>
      <w:tblPr>
        <w:tblStyle w:val="TableGrid"/>
        <w:tblW w:type="dxa" w:w="9500"/>
        <w:jc w:val="left"/>
        <w:tblLayout w:type="fixed"/>
        <w:tblLook w:firstColumn="1" w:firstRow="1" w:lastColumn="0" w:lastRow="0" w:noHBand="0" w:noVBand="1" w:val="04A0"/>
        <w:tblInd w:w="120" w:type="dxa"/>
      </w:tblPr>
      <w:tblGrid>
        <w:gridCol w:w="3100"/>
        <w:gridCol w:w="2600"/>
        <w:gridCol w:w="3800"/>
      </w:tblGrid>
      <w:tr>
        <w:trPr>
          <w:tblHeader w:val="true"/>
          <w:cantSplit/>
        </w:trPr>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Document</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Mentions légales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 conditionnel</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Compléter l’éditeur, l’immatriculation et l’hébergeur</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de confidentialité</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 conditionnel</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Inventorier les traitements, prestataires et transferts</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cookies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 conditionnel</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Réaliser un scan réel des traceurs</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Conditions d’utilisation</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 publiable après revue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Aligner les fonctions et liens réellement disponibles</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Avertissement VERIDIA / ALPHA</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Publier</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Conserver la cohérence avec le dossier MiCA</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 formulaire de contact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 conditionnel</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Fixer finalité, base légale et durée</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CGV</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applicable actuellement</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Créer seulement en cas de vente ou service payant</w:t>
            </w:r>
          </w:p>
        </w:tc>
      </w:tr>
    </w:tbl>
    <w:p>
      <w:pPr>
        <w:spacing w:after="40"/>
      </w:pPr>
    </w:p>
    <w:p>
      <w:pPr>
        <w:pStyle w:val="Heading2"/>
      </w:pPr>
      <w:r>
        <w:t>Règle d’utilisation</w:t>
      </w:r>
    </w:p>
    <w:p>
      <w:pPr>
        <w:spacing w:after="140" w:line="307" w:lineRule="auto"/>
      </w:pPr>
      <w:r>
        <w:rPr>
          <w:rFonts w:ascii="Arial" w:hAnsi="Arial" w:eastAsia="Arial"/>
          <w:i w:val="0"/>
          <w:color w:val="162019"/>
          <w:sz w:val="20"/>
        </w:rPr>
        <w:t>Ce pack est une base opérationnelle, pas un avis juridique. Les clauses entre crochets sont des données manquantes ou des choix à confirmer. Elles ne doivent jamais être remplacées par des informations supposées. La version publiée doit refléter le fonctionnement réel du site et être revue par un professionnel compétent avant une opération commerciale ou réglementée.</w:t>
      </w:r>
    </w:p>
    <w:p>
      <w:pPr>
        <w:pStyle w:val="Heading2"/>
      </w:pPr>
      <w:r>
        <w:t>Constat sur l’accès</w:t>
      </w:r>
    </w:p>
    <w:p>
      <w:pPr>
        <w:spacing w:after="140" w:line="307" w:lineRule="auto"/>
      </w:pPr>
      <w:r>
        <w:rPr>
          <w:rFonts w:ascii="Arial" w:hAnsi="Arial" w:eastAsia="Arial"/>
          <w:i w:val="0"/>
          <w:color w:val="162019"/>
          <w:sz w:val="20"/>
        </w:rPr>
        <w:t>À la date de contrôle, l’adresse du site redirige vers une page « Sign in required » et impose une authentification ChatGPT. Les mentions légales, la confidentialité et la gestion des traceurs doivent rester facilement accessibles aux personnes concernées. Pacturion doit vérifier si des liens peuvent être affichés avant authentification ou, à défaut, choisir un mode de publication qui permet cet accès.</w:t>
      </w:r>
    </w:p>
    <w:p>
      <w:r>
        <w:br w:type="page"/>
      </w:r>
    </w:p>
    <w:p>
      <w:pPr>
        <w:pStyle w:val="Heading2"/>
      </w:pPr>
      <w:r>
        <w:t>Sommaire</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Périmètre juridique et architecture des pages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Mentions légales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de confidentialité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relative aux cookies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Conditions générales d’utilisation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Avertissement ALPHA, VERIDIA et MiCA</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Mentions courtes pour formulaires et bannière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Propriété intellectuelle et liens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Plan d’intégration technique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Registres et contrôles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Checklist de publication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officielles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Périmètre juridique et architecture des pages</w:t>
      </w:r>
    </w:p>
    <w:p>
      <w:pPr>
        <w:pStyle w:val="Heading2"/>
      </w:pPr>
      <w:r>
        <w:t>Qualification actuelle du site</w:t>
      </w:r>
    </w:p>
    <w:tbl>
      <w:tblPr>
        <w:tblStyle w:val="TableGrid"/>
        <w:tblW w:type="dxa" w:w="9500"/>
        <w:jc w:val="left"/>
        <w:tblLayout w:type="fixed"/>
        <w:tblLook w:firstColumn="1" w:firstRow="1" w:lastColumn="0" w:lastRow="0" w:noHBand="0" w:noVBand="1" w:val="04A0"/>
        <w:tblInd w:w="120" w:type="dxa"/>
      </w:tblPr>
      <w:tblGrid>
        <w:gridCol w:w="1900"/>
        <w:gridCol w:w="3700"/>
        <w:gridCol w:w="39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3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 actuelle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Conséquence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Objet</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Information institutionnelle, technique et recherche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 de langage de vente ou d’investissement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Hypothèse produit interne non validée par le marché</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pas présenter comme service disponible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VERIDIA</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Hypothèse de token dormante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distribution, utilité économique ou cotation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Réseau</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Local et testnet borné ; Base Sepolia chain ID 84532</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fonds réel ni garantie de permanence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indépendant non réalisé</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jamais employer « audité » sans qualification exacte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MiCA</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en cours de qualification</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pas employer « conforme », « approuvé » ou « régulé »</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Vente</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 de CGV, paiement, abonnement ou médiateur annoncé</w:t>
            </w:r>
          </w:p>
        </w:tc>
      </w:tr>
    </w:tbl>
    <w:p>
      <w:pPr>
        <w:spacing w:after="40"/>
      </w:pPr>
    </w:p>
    <w:p>
      <w:pPr>
        <w:pStyle w:val="Heading2"/>
      </w:pPr>
      <w:r>
        <w:t>Pages à rendre accessibles</w:t>
      </w:r>
    </w:p>
    <w:p>
      <w:pPr>
        <w:numPr>
          <w:ilvl w:val="0"/>
          <w:numId w:val="16"/>
        </w:numPr>
        <w:spacing w:after="80" w:line="283" w:lineRule="auto"/>
      </w:pPr>
      <w:r>
        <w:rPr>
          <w:rFonts w:ascii="Arial" w:hAnsi="Arial" w:eastAsia="Arial"/>
          <w:color w:val="162019"/>
          <w:sz w:val="20"/>
        </w:rPr>
        <w:t>Mentions légales ;</w:t>
      </w:r>
    </w:p>
    <w:p>
      <w:pPr>
        <w:numPr>
          <w:ilvl w:val="0"/>
          <w:numId w:val="16"/>
        </w:numPr>
        <w:spacing w:after="80" w:line="283" w:lineRule="auto"/>
      </w:pPr>
      <w:r>
        <w:rPr>
          <w:rFonts w:ascii="Arial" w:hAnsi="Arial" w:eastAsia="Arial"/>
          <w:color w:val="162019"/>
          <w:sz w:val="20"/>
        </w:rPr>
        <w:t>Confidentialité ;</w:t>
      </w:r>
    </w:p>
    <w:p>
      <w:pPr>
        <w:numPr>
          <w:ilvl w:val="0"/>
          <w:numId w:val="16"/>
        </w:numPr>
        <w:spacing w:after="80" w:line="283" w:lineRule="auto"/>
      </w:pPr>
      <w:r>
        <w:rPr>
          <w:rFonts w:ascii="Arial" w:hAnsi="Arial" w:eastAsia="Arial"/>
          <w:color w:val="162019"/>
          <w:sz w:val="20"/>
        </w:rPr>
        <w:t>Cookies et gestion des préférences ;</w:t>
      </w:r>
    </w:p>
    <w:p>
      <w:pPr>
        <w:numPr>
          <w:ilvl w:val="0"/>
          <w:numId w:val="16"/>
        </w:numPr>
        <w:spacing w:after="80" w:line="283" w:lineRule="auto"/>
      </w:pPr>
      <w:r>
        <w:rPr>
          <w:rFonts w:ascii="Arial" w:hAnsi="Arial" w:eastAsia="Arial"/>
          <w:color w:val="162019"/>
          <w:sz w:val="20"/>
        </w:rPr>
        <w:t>Conditions d’utilisation ;</w:t>
      </w:r>
    </w:p>
    <w:p>
      <w:pPr>
        <w:numPr>
          <w:ilvl w:val="0"/>
          <w:numId w:val="16"/>
        </w:numPr>
        <w:spacing w:after="80" w:line="283" w:lineRule="auto"/>
      </w:pPr>
      <w:r>
        <w:rPr>
          <w:rFonts w:ascii="Arial" w:hAnsi="Arial" w:eastAsia="Arial"/>
          <w:color w:val="162019"/>
          <w:sz w:val="20"/>
        </w:rPr>
        <w:t>Avertissement recherche et crypto-actifs ;</w:t>
      </w:r>
    </w:p>
    <w:p>
      <w:pPr>
        <w:numPr>
          <w:ilvl w:val="0"/>
          <w:numId w:val="16"/>
        </w:numPr>
        <w:spacing w:after="80" w:line="283" w:lineRule="auto"/>
      </w:pPr>
      <w:r>
        <w:rPr>
          <w:rFonts w:ascii="Arial" w:hAnsi="Arial" w:eastAsia="Arial"/>
          <w:color w:val="162019"/>
          <w:sz w:val="20"/>
        </w:rPr>
        <w:t>Contact et exercice des droits.</w:t>
      </w:r>
    </w:p>
    <w:p>
      <w:pPr>
        <w:spacing w:before="100" w:after="180" w:line="283" w:lineRule="auto"/>
        <w:ind w:left="227" w:right="170"/>
        <w:shd w:fill="EDF3EF"/>
        <w:pBdr>
          <w:left w:val="single" w:sz="18" w:space="8" w:color="155A3E"/>
        </w:pBdr>
      </w:pPr>
      <w:r>
        <w:rPr>
          <w:rFonts w:ascii="Arial" w:hAnsi="Arial" w:eastAsia="Arial"/>
          <w:b/>
          <w:color w:val="155A3E"/>
          <w:sz w:val="16"/>
        </w:rPr>
        <w:t>NAVIGATION</w:t>
        <w:br/>
      </w:r>
      <w:r>
        <w:rPr>
          <w:rFonts w:ascii="Arial" w:hAnsi="Arial" w:eastAsia="Arial"/>
          <w:b w:val="0"/>
          <w:color w:val="162019"/>
          <w:sz w:val="20"/>
        </w:rPr>
        <w:t>Ajouter ces liens au pied de chaque page. Les liens juridiques ne doivent pas être des onglets inactifs, des ancres cassées ou des contenus uniquement visibles après une animation.</w:t>
      </w:r>
    </w:p>
    <w:p>
      <w:r>
        <w:br w:type="page"/>
      </w:r>
    </w:p>
    <w:p>
      <w:pPr>
        <w:keepNext/>
        <w:spacing w:before="440" w:after="100"/>
      </w:pPr>
      <w:r>
        <w:rPr>
          <w:rFonts w:ascii="Arial" w:hAnsi="Arial" w:eastAsia="Arial"/>
          <w:b/>
          <w:color w:val="C6A15B"/>
          <w:sz w:val="16"/>
        </w:rPr>
        <w:t>CHAPITRE 02</w:t>
      </w:r>
    </w:p>
    <w:p>
      <w:pPr>
        <w:pStyle w:val="Heading1"/>
        <w:pageBreakBefore w:val="0"/>
      </w:pPr>
      <w:r>
        <w:t>Mentions légales</w:t>
      </w:r>
    </w:p>
    <w:p>
      <w:pPr>
        <w:keepNext/>
        <w:spacing w:after="320"/>
      </w:pPr>
      <w:r>
        <w:rPr>
          <w:rFonts w:ascii="Arial" w:hAnsi="Arial" w:eastAsia="Arial"/>
          <w:i/>
          <w:color w:val="66736B"/>
          <w:sz w:val="25"/>
        </w:rPr>
        <w:t>Texte à compléter avant publication.</w:t>
      </w:r>
    </w:p>
    <w:p>
      <w:pPr>
        <w:pStyle w:val="Heading2"/>
        <w:spacing w:before="180" w:after="100"/>
      </w:pPr>
      <w:r>
        <w:rPr>
          <w:rFonts w:ascii="Arial" w:hAnsi="Arial" w:eastAsia="Arial"/>
          <w:b/>
          <w:color w:val="155A3E"/>
          <w:sz w:val="23"/>
        </w:rPr>
        <w:t>Éditeur du site</w:t>
      </w:r>
    </w:p>
    <w:p>
      <w:pPr>
        <w:spacing w:after="140" w:line="307" w:lineRule="auto"/>
      </w:pPr>
      <w:r>
        <w:rPr>
          <w:rFonts w:ascii="Arial" w:hAnsi="Arial" w:eastAsia="Arial"/>
          <w:i w:val="0"/>
          <w:color w:val="162019"/>
          <w:sz w:val="20"/>
        </w:rPr>
        <w:t>Le site Pacturion est édité par [DÉNOMINATION SOCIALE OU NOM DE L’ENTREPRENEUR], [FORME JURIDIQUE OU MENTION « ENTREPRENEUR INDIVIDUEL »], dont le siège ou l’adresse professionnelle est situé(e) [ADRESSE COMPLÈTE]. Capital social : [MONTANT] euros, si applicable. Immatriculation : [RCS ET VILLE / SIREN / AUTRE REGISTRE]. Numéro de TVA intracommunautaire : [NUMÉRO OU « NON APPLICABLE »].</w:t>
      </w:r>
    </w:p>
    <w:p>
      <w:pPr>
        <w:pStyle w:val="Heading2"/>
        <w:spacing w:before="180" w:after="100"/>
      </w:pPr>
      <w:r>
        <w:rPr>
          <w:rFonts w:ascii="Arial" w:hAnsi="Arial" w:eastAsia="Arial"/>
          <w:b/>
          <w:color w:val="155A3E"/>
          <w:sz w:val="23"/>
        </w:rPr>
        <w:t>Direction de la publication</w:t>
      </w:r>
    </w:p>
    <w:p>
      <w:pPr>
        <w:spacing w:after="140" w:line="307" w:lineRule="auto"/>
      </w:pPr>
      <w:r>
        <w:rPr>
          <w:rFonts w:ascii="Arial" w:hAnsi="Arial" w:eastAsia="Arial"/>
          <w:i w:val="0"/>
          <w:color w:val="162019"/>
          <w:sz w:val="20"/>
        </w:rPr>
        <w:t>Directeur de la publication : [NOM, QUALITÉ].</w:t>
      </w:r>
    </w:p>
    <w:p>
      <w:pPr>
        <w:pStyle w:val="Heading2"/>
        <w:spacing w:before="180" w:after="100"/>
      </w:pPr>
      <w:r>
        <w:rPr>
          <w:rFonts w:ascii="Arial" w:hAnsi="Arial" w:eastAsia="Arial"/>
          <w:b/>
          <w:color w:val="155A3E"/>
          <w:sz w:val="23"/>
        </w:rPr>
        <w:t>Contact</w:t>
      </w:r>
    </w:p>
    <w:p>
      <w:pPr>
        <w:spacing w:after="140" w:line="307" w:lineRule="auto"/>
      </w:pPr>
      <w:r>
        <w:rPr>
          <w:rFonts w:ascii="Arial" w:hAnsi="Arial" w:eastAsia="Arial"/>
          <w:i w:val="0"/>
          <w:color w:val="162019"/>
          <w:sz w:val="20"/>
        </w:rPr>
        <w:t>Adresse électronique : [ADRESSE DE CONTACT PACTURION]. Téléphone : [NUMÉRO PROFESSIONNEL].</w:t>
      </w:r>
    </w:p>
    <w:p>
      <w:pPr>
        <w:pStyle w:val="Heading2"/>
        <w:spacing w:before="180" w:after="100"/>
      </w:pPr>
      <w:r>
        <w:rPr>
          <w:rFonts w:ascii="Arial" w:hAnsi="Arial" w:eastAsia="Arial"/>
          <w:b/>
          <w:color w:val="155A3E"/>
          <w:sz w:val="23"/>
        </w:rPr>
        <w:t>Hébergement</w:t>
      </w:r>
    </w:p>
    <w:p>
      <w:pPr>
        <w:spacing w:after="140" w:line="307" w:lineRule="auto"/>
      </w:pPr>
      <w:r>
        <w:rPr>
          <w:rFonts w:ascii="Arial" w:hAnsi="Arial" w:eastAsia="Arial"/>
          <w:i w:val="0"/>
          <w:color w:val="162019"/>
          <w:sz w:val="20"/>
        </w:rPr>
        <w:t>Le site est hébergé par [DÉNOMINATION SOCIALE DE L’HÉBERGEUR], [FORME JURIDIQUE], situé [ADRESSE COMPLÈTE], joignable au [NUMÉRO DE TÉLÉPHONE]. Les services techniques ou d’authentification fournis par OpenAI ou un autre fournisseur doivent être décrits selon leur rôle réel et les documents contractuels applicables.</w:t>
      </w:r>
    </w:p>
    <w:p>
      <w:pPr>
        <w:pStyle w:val="Heading2"/>
        <w:spacing w:before="180" w:after="100"/>
      </w:pPr>
      <w:r>
        <w:rPr>
          <w:rFonts w:ascii="Arial" w:hAnsi="Arial" w:eastAsia="Arial"/>
          <w:b/>
          <w:color w:val="155A3E"/>
          <w:sz w:val="23"/>
        </w:rPr>
        <w:t>Activité réglementée</w:t>
      </w:r>
    </w:p>
    <w:p>
      <w:pPr>
        <w:spacing w:after="140" w:line="307" w:lineRule="auto"/>
      </w:pPr>
      <w:r>
        <w:rPr>
          <w:rFonts w:ascii="Arial" w:hAnsi="Arial" w:eastAsia="Arial"/>
          <w:i w:val="0"/>
          <w:color w:val="162019"/>
          <w:sz w:val="20"/>
        </w:rPr>
        <w:t>Pacturion ne déclare actuellement aucune activité réglementée, aucun agrément PSCA/CASP et aucune approbation MiCA. Si une activité soumise à autorisation est effectivement exercée, l’autorité compétente, le titre professionnel et les références exigées devront être ajoutés avant son ouverture.</w:t>
      </w:r>
    </w:p>
    <w:p>
      <w:pPr>
        <w:pStyle w:val="Heading2"/>
        <w:spacing w:before="180" w:after="100"/>
      </w:pPr>
      <w:r>
        <w:rPr>
          <w:rFonts w:ascii="Arial" w:hAnsi="Arial" w:eastAsia="Arial"/>
          <w:b/>
          <w:color w:val="155A3E"/>
          <w:sz w:val="23"/>
        </w:rPr>
        <w:t>Propriété intellectuelle</w:t>
      </w:r>
    </w:p>
    <w:p>
      <w:pPr>
        <w:spacing w:after="140" w:line="307" w:lineRule="auto"/>
      </w:pPr>
      <w:r>
        <w:rPr>
          <w:rFonts w:ascii="Arial" w:hAnsi="Arial" w:eastAsia="Arial"/>
          <w:i w:val="0"/>
          <w:color w:val="162019"/>
          <w:sz w:val="20"/>
        </w:rPr>
        <w:t>Sauf mention contraire, les textes, éléments graphiques, marques, logos, interfaces et documents présentés sur le site sont protégés. Leur utilisation ne confère aucun droit de propriété. Les composants tiers restent soumis à leurs licences respectives.</w:t>
      </w:r>
    </w:p>
    <w:p>
      <w:pPr>
        <w:pStyle w:val="Heading2"/>
        <w:spacing w:before="180" w:after="100"/>
      </w:pPr>
      <w:r>
        <w:rPr>
          <w:rFonts w:ascii="Arial" w:hAnsi="Arial" w:eastAsia="Arial"/>
          <w:b/>
          <w:color w:val="155A3E"/>
          <w:sz w:val="23"/>
        </w:rPr>
        <w:t>Signalement</w:t>
      </w:r>
    </w:p>
    <w:p>
      <w:pPr>
        <w:spacing w:after="140" w:line="307" w:lineRule="auto"/>
      </w:pPr>
      <w:r>
        <w:rPr>
          <w:rFonts w:ascii="Arial" w:hAnsi="Arial" w:eastAsia="Arial"/>
          <w:i w:val="0"/>
          <w:color w:val="162019"/>
          <w:sz w:val="20"/>
        </w:rPr>
        <w:t>Pour signaler un contenu manifestement illicite, une atteinte à des droits ou une vulnérabilité, contacter [ADRESSE DÉDIÉE]. La demande doit permettre d’identifier précisément le contenu ou le système concerné et le motif du signalement.</w:t>
      </w:r>
    </w:p>
    <w:p>
      <w:pPr>
        <w:spacing w:before="100" w:after="180" w:line="283" w:lineRule="auto"/>
        <w:ind w:left="227" w:right="170"/>
        <w:shd w:fill="F6F0E3"/>
        <w:pBdr>
          <w:left w:val="single" w:sz="18" w:space="8" w:color="C6A15B"/>
        </w:pBdr>
      </w:pPr>
      <w:r>
        <w:rPr>
          <w:rFonts w:ascii="Arial" w:hAnsi="Arial" w:eastAsia="Arial"/>
          <w:b/>
          <w:color w:val="C6A15B"/>
          <w:sz w:val="16"/>
        </w:rPr>
        <w:t>INTERDICTION DE PUBLICATION</w:t>
        <w:br/>
      </w:r>
      <w:r>
        <w:rPr>
          <w:rFonts w:ascii="Arial" w:hAnsi="Arial" w:eastAsia="Arial"/>
          <w:b w:val="0"/>
          <w:color w:val="162019"/>
          <w:sz w:val="20"/>
        </w:rPr>
        <w:t>Ne pas publier cette page avec les crochets, avec une fausse société ou avec « Pacturion » présenté comme personne morale si aucune entité ne porte encore légalement ce nom.</w:t>
      </w:r>
    </w:p>
    <w:p>
      <w:r>
        <w:br w:type="page"/>
      </w:r>
    </w:p>
    <w:p>
      <w:pPr>
        <w:keepNext/>
        <w:spacing w:before="440" w:after="100"/>
      </w:pPr>
      <w:r>
        <w:rPr>
          <w:rFonts w:ascii="Arial" w:hAnsi="Arial" w:eastAsia="Arial"/>
          <w:b/>
          <w:color w:val="C6A15B"/>
          <w:sz w:val="16"/>
        </w:rPr>
        <w:t>CHAPITRE 03</w:t>
      </w:r>
    </w:p>
    <w:p>
      <w:pPr>
        <w:pStyle w:val="Heading1"/>
        <w:pageBreakBefore w:val="0"/>
      </w:pPr>
      <w:r>
        <w:t>Politique de confidentialité</w:t>
      </w:r>
    </w:p>
    <w:p>
      <w:pPr>
        <w:keepNext/>
        <w:spacing w:after="320"/>
      </w:pPr>
      <w:r>
        <w:rPr>
          <w:rFonts w:ascii="Arial" w:hAnsi="Arial" w:eastAsia="Arial"/>
          <w:i/>
          <w:color w:val="66736B"/>
          <w:sz w:val="25"/>
        </w:rPr>
        <w:t>Projet de texte à aligner sur l’inventaire réel des traitements.</w:t>
      </w:r>
    </w:p>
    <w:p>
      <w:pPr>
        <w:pStyle w:val="Heading2"/>
        <w:spacing w:before="180" w:after="100"/>
      </w:pPr>
      <w:r>
        <w:rPr>
          <w:rFonts w:ascii="Arial" w:hAnsi="Arial" w:eastAsia="Arial"/>
          <w:b/>
          <w:color w:val="155A3E"/>
          <w:sz w:val="23"/>
        </w:rPr>
        <w:t>1. Responsable du traitement</w:t>
      </w:r>
    </w:p>
    <w:p>
      <w:pPr>
        <w:spacing w:after="140" w:line="307" w:lineRule="auto"/>
      </w:pPr>
      <w:r>
        <w:rPr>
          <w:rFonts w:ascii="Arial" w:hAnsi="Arial" w:eastAsia="Arial"/>
          <w:i w:val="0"/>
          <w:color w:val="162019"/>
          <w:sz w:val="20"/>
        </w:rPr>
        <w:t>Le responsable du traitement est [ENTITÉ OU ENTREPRENEUR], joignable à [ADRESSE POSTALE] et [ADRESSE ÉLECTRONIQUE VIE PRIVÉE]. Délégué à la protection des données : [COORDONNÉES OU « NON DÉSIGNÉ »].</w:t>
      </w:r>
    </w:p>
    <w:p>
      <w:pPr>
        <w:pStyle w:val="Heading2"/>
        <w:spacing w:before="180" w:after="100"/>
      </w:pPr>
      <w:r>
        <w:rPr>
          <w:rFonts w:ascii="Arial" w:hAnsi="Arial" w:eastAsia="Arial"/>
          <w:b/>
          <w:color w:val="155A3E"/>
          <w:sz w:val="23"/>
        </w:rPr>
        <w:t>2. Données susceptibles d’être traitées</w:t>
      </w:r>
    </w:p>
    <w:p>
      <w:pPr>
        <w:spacing w:after="140" w:line="307" w:lineRule="auto"/>
      </w:pPr>
      <w:r>
        <w:rPr>
          <w:rFonts w:ascii="Arial" w:hAnsi="Arial" w:eastAsia="Arial"/>
          <w:i w:val="0"/>
          <w:color w:val="162019"/>
          <w:sz w:val="20"/>
        </w:rPr>
        <w:t>Selon les fonctions effectivement activées : données de contact ; contenu des messages ; données de connexion et de sécurité ; préférences de langue et de consentement ; identifiants techniques ; adresse IP ; informations liées à une authentification ; adresse de wallet ou données testnet lorsque l’utilisateur choisit de les communiquer. Pacturion ne doit pas collecter de secret, seed phrase ou clé privée.</w:t>
      </w:r>
    </w:p>
    <w:p>
      <w:pPr>
        <w:pStyle w:val="Heading2"/>
        <w:spacing w:before="180" w:after="100"/>
      </w:pPr>
      <w:r>
        <w:rPr>
          <w:rFonts w:ascii="Arial" w:hAnsi="Arial" w:eastAsia="Arial"/>
          <w:b/>
          <w:color w:val="155A3E"/>
          <w:sz w:val="23"/>
        </w:rPr>
        <w:t>3. Finalités et bases légales</w:t>
      </w:r>
    </w:p>
    <w:p>
      <w:pPr>
        <w:spacing w:after="140" w:line="307" w:lineRule="auto"/>
      </w:pPr>
      <w:r>
        <w:rPr>
          <w:rFonts w:ascii="Arial" w:hAnsi="Arial" w:eastAsia="Arial"/>
          <w:i w:val="0"/>
          <w:color w:val="162019"/>
          <w:sz w:val="20"/>
        </w:rPr>
        <w:t>Les demandes de contact sont traitées pour répondre à l’utilisateur sur la base de l’intérêt légitime ou de mesures précontractuelles, selon le contexte. La sécurité et la prévention des abus reposent sur l’intérêt légitime et, lorsque nécessaire, une obligation légale. Les traceurs non essentiels et la prospection électronique reposent sur le consentement. Toute autre finalité doit être ajoutée avant traitement.</w:t>
      </w:r>
    </w:p>
    <w:p>
      <w:pPr>
        <w:pStyle w:val="Heading2"/>
        <w:spacing w:before="180" w:after="100"/>
      </w:pPr>
      <w:r>
        <w:rPr>
          <w:rFonts w:ascii="Arial" w:hAnsi="Arial" w:eastAsia="Arial"/>
          <w:b/>
          <w:color w:val="155A3E"/>
          <w:sz w:val="23"/>
        </w:rPr>
        <w:t>4. Caractère obligatoire</w:t>
      </w:r>
    </w:p>
    <w:p>
      <w:pPr>
        <w:spacing w:after="140" w:line="307" w:lineRule="auto"/>
      </w:pPr>
      <w:r>
        <w:rPr>
          <w:rFonts w:ascii="Arial" w:hAnsi="Arial" w:eastAsia="Arial"/>
          <w:i w:val="0"/>
          <w:color w:val="162019"/>
          <w:sz w:val="20"/>
        </w:rPr>
        <w:t>Les champs marqués comme obligatoires sont nécessaires au traitement de la demande. Leur absence peut empêcher Pacturion de répondre. Les autres informations sont facultatives.</w:t>
      </w:r>
    </w:p>
    <w:p>
      <w:pPr>
        <w:pStyle w:val="Heading2"/>
        <w:spacing w:before="180" w:after="100"/>
      </w:pPr>
      <w:r>
        <w:rPr>
          <w:rFonts w:ascii="Arial" w:hAnsi="Arial" w:eastAsia="Arial"/>
          <w:b/>
          <w:color w:val="155A3E"/>
          <w:sz w:val="23"/>
        </w:rPr>
        <w:t>5. Destinataires</w:t>
      </w:r>
    </w:p>
    <w:p>
      <w:pPr>
        <w:spacing w:after="140" w:line="307" w:lineRule="auto"/>
      </w:pPr>
      <w:r>
        <w:rPr>
          <w:rFonts w:ascii="Arial" w:hAnsi="Arial" w:eastAsia="Arial"/>
          <w:i w:val="0"/>
          <w:color w:val="162019"/>
          <w:sz w:val="20"/>
        </w:rPr>
        <w:t>Les données sont accessibles aux personnes habilitées de Pacturion et, dans la limite nécessaire, aux prestataires techniques identifiés dans le registre des traitements. Aucun destinataire ne doit être mentionné ou omis sans vérification contractuelle.</w:t>
      </w:r>
    </w:p>
    <w:p>
      <w:pPr>
        <w:pStyle w:val="Heading2"/>
        <w:spacing w:before="180" w:after="100"/>
      </w:pPr>
      <w:r>
        <w:rPr>
          <w:rFonts w:ascii="Arial" w:hAnsi="Arial" w:eastAsia="Arial"/>
          <w:b/>
          <w:color w:val="155A3E"/>
          <w:sz w:val="23"/>
        </w:rPr>
        <w:t>6. Durées de conservation</w:t>
      </w:r>
    </w:p>
    <w:p>
      <w:pPr>
        <w:spacing w:after="140" w:line="307" w:lineRule="auto"/>
      </w:pPr>
      <w:r>
        <w:rPr>
          <w:rFonts w:ascii="Arial" w:hAnsi="Arial" w:eastAsia="Arial"/>
          <w:i w:val="0"/>
          <w:color w:val="162019"/>
          <w:sz w:val="20"/>
        </w:rPr>
        <w:t>Demandes générales : [DURÉE À FIXER, PAR EXEMPLE 12 MOIS APRÈS LE DERNIER ÉCHANGE]. Prospection : [DURÉE À FIXER SELON LE CONTEXTE]. Journaux de sécurité : [DURÉE JUSTIFIÉE]. Choix cookies : durée limitée et réévaluée. Les obligations légales, litiges ou demandes d’autorité peuvent justifier une conservation distincte et tracée.</w:t>
      </w:r>
    </w:p>
    <w:p>
      <w:pPr>
        <w:pStyle w:val="Heading2"/>
        <w:spacing w:before="180" w:after="100"/>
      </w:pPr>
      <w:r>
        <w:rPr>
          <w:rFonts w:ascii="Arial" w:hAnsi="Arial" w:eastAsia="Arial"/>
          <w:b/>
          <w:color w:val="155A3E"/>
          <w:sz w:val="23"/>
        </w:rPr>
        <w:t>7. Transferts hors EEE</w:t>
      </w:r>
    </w:p>
    <w:p>
      <w:pPr>
        <w:spacing w:after="140" w:line="307" w:lineRule="auto"/>
      </w:pPr>
      <w:r>
        <w:rPr>
          <w:rFonts w:ascii="Arial" w:hAnsi="Arial" w:eastAsia="Arial"/>
          <w:i w:val="0"/>
          <w:color w:val="162019"/>
          <w:sz w:val="20"/>
        </w:rPr>
        <w:t>Pacturion doit vérifier où chaque prestataire traite ou rend accessible les données. Tout transfert hors de l’Espace économique européen doit reposer sur un mécanisme valable et être expliqué : décision d’adéquation, clauses contractuelles types, mesures complémentaires ou autre fondement applicable.</w:t>
      </w:r>
    </w:p>
    <w:p>
      <w:pPr>
        <w:pStyle w:val="Heading2"/>
        <w:spacing w:before="180" w:after="100"/>
      </w:pPr>
      <w:r>
        <w:rPr>
          <w:rFonts w:ascii="Arial" w:hAnsi="Arial" w:eastAsia="Arial"/>
          <w:b/>
          <w:color w:val="155A3E"/>
          <w:sz w:val="23"/>
        </w:rPr>
        <w:t>8. Droits</w:t>
      </w:r>
    </w:p>
    <w:p>
      <w:pPr>
        <w:spacing w:after="140" w:line="307" w:lineRule="auto"/>
      </w:pPr>
      <w:r>
        <w:rPr>
          <w:rFonts w:ascii="Arial" w:hAnsi="Arial" w:eastAsia="Arial"/>
          <w:i w:val="0"/>
          <w:color w:val="162019"/>
          <w:sz w:val="20"/>
        </w:rPr>
        <w:t>La personne peut, selon les conditions applicables, demander l’accès, la rectification, l’effacement, la limitation, l’opposition, la portabilité ou le retrait de son consentement. Elle peut exercer ses droits à [ADRESSE VIE PRIVÉE] et introduire une réclamation auprès de la CNIL.</w:t>
      </w:r>
    </w:p>
    <w:p>
      <w:pPr>
        <w:pStyle w:val="Heading2"/>
        <w:spacing w:before="180" w:after="100"/>
      </w:pPr>
      <w:r>
        <w:rPr>
          <w:rFonts w:ascii="Arial" w:hAnsi="Arial" w:eastAsia="Arial"/>
          <w:b/>
          <w:color w:val="155A3E"/>
          <w:sz w:val="23"/>
        </w:rPr>
        <w:t>9. Sécurité</w:t>
      </w:r>
    </w:p>
    <w:p>
      <w:pPr>
        <w:spacing w:after="140" w:line="307" w:lineRule="auto"/>
      </w:pPr>
      <w:r>
        <w:rPr>
          <w:rFonts w:ascii="Arial" w:hAnsi="Arial" w:eastAsia="Arial"/>
          <w:i w:val="0"/>
          <w:color w:val="162019"/>
          <w:sz w:val="20"/>
        </w:rPr>
        <w:t>Pacturion applique des mesures adaptées au risque : limitation des accès, authentification, journalisation, sauvegardes, chiffrement lorsque pertinent, mises à jour, gestion des vulnérabilités et procédure d’incident. Aucun dispositif ne permet de garantir une sécurité absolue.</w:t>
      </w:r>
    </w:p>
    <w:p>
      <w:pPr>
        <w:pStyle w:val="Heading2"/>
        <w:spacing w:before="180" w:after="100"/>
      </w:pPr>
      <w:r>
        <w:rPr>
          <w:rFonts w:ascii="Arial" w:hAnsi="Arial" w:eastAsia="Arial"/>
          <w:b/>
          <w:color w:val="155A3E"/>
          <w:sz w:val="23"/>
        </w:rPr>
        <w:t>10. Évolution</w:t>
      </w:r>
    </w:p>
    <w:p>
      <w:pPr>
        <w:spacing w:after="140" w:line="307" w:lineRule="auto"/>
      </w:pPr>
      <w:r>
        <w:rPr>
          <w:rFonts w:ascii="Arial" w:hAnsi="Arial" w:eastAsia="Arial"/>
          <w:i w:val="0"/>
          <w:color w:val="162019"/>
          <w:sz w:val="20"/>
        </w:rPr>
        <w:t>La politique peut être mise à jour lorsque le site, les traitements ou le droit applicable évoluent. La date et la version sont affichées. Une information spécifique est fournie si une modification affecte substantiellement les personnes.</w:t>
      </w:r>
    </w:p>
    <w:p>
      <w:pPr>
        <w:pStyle w:val="Heading2"/>
      </w:pPr>
      <w:r>
        <w:t>Inventaire à finaliser</w:t>
      </w:r>
    </w:p>
    <w:tbl>
      <w:tblPr>
        <w:tblStyle w:val="TableGrid"/>
        <w:tblW w:type="dxa" w:w="9500"/>
        <w:jc w:val="left"/>
        <w:tblLayout w:type="fixed"/>
        <w:tblLook w:firstColumn="1" w:firstRow="1" w:lastColumn="0" w:lastRow="0" w:noHBand="0" w:noVBand="1" w:val="04A0"/>
        <w:tblInd w:w="120" w:type="dxa"/>
      </w:tblPr>
      <w:tblGrid>
        <w:gridCol w:w="2500"/>
        <w:gridCol w:w="5100"/>
        <w:gridCol w:w="19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Traitement</w:t>
            </w:r>
          </w:p>
        </w:tc>
        <w:tc>
          <w:tcPr>
            <w:tcW w:type="dxa" w:w="5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à documenter</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Authentification</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Responsable(s), données, fournisseur, transfert et durée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QUALIFIER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Champs, finalité, base légale, destinataire et conservation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Journaux</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Événements, accès, finalité de sécurité et purge</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Testnet / wallet</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observées, lien avec une personne et minimisation</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QUALIFIER</w:t>
            </w:r>
          </w:p>
        </w:tc>
      </w:tr>
    </w:tbl>
    <w:p>
      <w:pPr>
        <w:spacing w:after="40"/>
      </w:pPr>
    </w:p>
    <w:p>
      <w:r>
        <w:br w:type="page"/>
      </w:r>
    </w:p>
    <w:p>
      <w:pPr>
        <w:keepNext/>
        <w:spacing w:before="440" w:after="100"/>
      </w:pPr>
      <w:r>
        <w:rPr>
          <w:rFonts w:ascii="Arial" w:hAnsi="Arial" w:eastAsia="Arial"/>
          <w:b/>
          <w:color w:val="C6A15B"/>
          <w:sz w:val="16"/>
        </w:rPr>
        <w:t>CHAPITRE 04</w:t>
      </w:r>
    </w:p>
    <w:p>
      <w:pPr>
        <w:pStyle w:val="Heading1"/>
        <w:pageBreakBefore w:val="0"/>
      </w:pPr>
      <w:r>
        <w:t>Politique relative aux cookies et traceurs</w:t>
      </w:r>
    </w:p>
    <w:p>
      <w:pPr>
        <w:pStyle w:val="Heading2"/>
      </w:pPr>
      <w:r>
        <w:t>Position de prudence</w:t>
      </w:r>
    </w:p>
    <w:p>
      <w:pPr>
        <w:spacing w:after="140" w:line="307" w:lineRule="auto"/>
      </w:pPr>
      <w:r>
        <w:rPr>
          <w:rFonts w:ascii="Arial" w:hAnsi="Arial" w:eastAsia="Arial"/>
          <w:i w:val="0"/>
          <w:color w:val="162019"/>
          <w:sz w:val="20"/>
        </w:rPr>
        <w:t>Aucune politique ne peut affirmer « nous n’utilisons aucun cookie » sans audit du site, de l’hébergement, de l’authentification, des polices, vidéos, outils de mesure et scripts tiers. La page d’entrée observée utilise une authentification ChatGPT ; les traceurs associés doivent être inventoriés et qualifiés.</w:t>
      </w:r>
    </w:p>
    <w:p>
      <w:pPr>
        <w:pStyle w:val="Heading2"/>
        <w:spacing w:before="180" w:after="100"/>
      </w:pPr>
      <w:r>
        <w:rPr>
          <w:rFonts w:ascii="Arial" w:hAnsi="Arial" w:eastAsia="Arial"/>
          <w:b/>
          <w:color w:val="155A3E"/>
          <w:sz w:val="23"/>
        </w:rPr>
        <w:t>Définition</w:t>
      </w:r>
    </w:p>
    <w:p>
      <w:pPr>
        <w:spacing w:after="140" w:line="307" w:lineRule="auto"/>
      </w:pPr>
      <w:r>
        <w:rPr>
          <w:rFonts w:ascii="Arial" w:hAnsi="Arial" w:eastAsia="Arial"/>
          <w:i w:val="0"/>
          <w:color w:val="162019"/>
          <w:sz w:val="20"/>
        </w:rPr>
        <w:t>Un cookie ou traceur peut permettre de stocker ou lire des informations sur le terminal. Certains traceurs strictement nécessaires au service demandé ou à la communication électronique peuvent être exemptés de consentement ; les autres nécessitent en principe une information et un consentement préalable.</w:t>
      </w:r>
    </w:p>
    <w:p>
      <w:pPr>
        <w:pStyle w:val="Heading2"/>
        <w:spacing w:before="180" w:after="100"/>
      </w:pPr>
      <w:r>
        <w:rPr>
          <w:rFonts w:ascii="Arial" w:hAnsi="Arial" w:eastAsia="Arial"/>
          <w:b/>
          <w:color w:val="155A3E"/>
          <w:sz w:val="23"/>
        </w:rPr>
        <w:t>Catégories</w:t>
      </w:r>
    </w:p>
    <w:p>
      <w:pPr>
        <w:spacing w:after="140" w:line="307" w:lineRule="auto"/>
      </w:pPr>
      <w:r>
        <w:rPr>
          <w:rFonts w:ascii="Arial" w:hAnsi="Arial" w:eastAsia="Arial"/>
          <w:i w:val="0"/>
          <w:color w:val="162019"/>
          <w:sz w:val="20"/>
        </w:rPr>
        <w:t>Essentiels : authentification, sécurité, équilibrage, préférence de langue ou conservation du choix de consentement, lorsque strictement nécessaires. Mesure d’audience : [OUTIL ET STATUT À RENSEIGNER]. Médias et services tiers : [À RENSEIGNER]. Publicité : non autorisée dans le périmètre actuel.</w:t>
      </w:r>
    </w:p>
    <w:p>
      <w:pPr>
        <w:pStyle w:val="Heading2"/>
        <w:spacing w:before="180" w:after="100"/>
      </w:pPr>
      <w:r>
        <w:rPr>
          <w:rFonts w:ascii="Arial" w:hAnsi="Arial" w:eastAsia="Arial"/>
          <w:b/>
          <w:color w:val="155A3E"/>
          <w:sz w:val="23"/>
        </w:rPr>
        <w:t>Choix de l’utilisateur</w:t>
      </w:r>
    </w:p>
    <w:p>
      <w:pPr>
        <w:spacing w:after="140" w:line="307" w:lineRule="auto"/>
      </w:pPr>
      <w:r>
        <w:rPr>
          <w:rFonts w:ascii="Arial" w:hAnsi="Arial" w:eastAsia="Arial"/>
          <w:i w:val="0"/>
          <w:color w:val="162019"/>
          <w:sz w:val="20"/>
        </w:rPr>
        <w:t>Lorsque le consentement est requis, aucun traceur concerné ne doit être déposé avant le choix. L’utilisateur peut accepter, refuser ou paramétrer par finalité. Le refus doit être aussi accessible que l’acceptation et le retrait aussi simple que l’octroi.</w:t>
      </w:r>
    </w:p>
    <w:p>
      <w:pPr>
        <w:pStyle w:val="Heading2"/>
        <w:spacing w:before="180" w:after="100"/>
      </w:pPr>
      <w:r>
        <w:rPr>
          <w:rFonts w:ascii="Arial" w:hAnsi="Arial" w:eastAsia="Arial"/>
          <w:b/>
          <w:color w:val="155A3E"/>
          <w:sz w:val="23"/>
        </w:rPr>
        <w:t>Durée</w:t>
      </w:r>
    </w:p>
    <w:p>
      <w:pPr>
        <w:spacing w:after="140" w:line="307" w:lineRule="auto"/>
      </w:pPr>
      <w:r>
        <w:rPr>
          <w:rFonts w:ascii="Arial" w:hAnsi="Arial" w:eastAsia="Arial"/>
          <w:i w:val="0"/>
          <w:color w:val="162019"/>
          <w:sz w:val="20"/>
        </w:rPr>
        <w:t>La durée de vie de chaque traceur et la durée de conservation du choix doivent être indiquées dans un tableau issu du scan technique réel. Elles ne doivent pas être choisies uniquement pour prolonger le suivi.</w:t>
      </w:r>
    </w:p>
    <w:p>
      <w:pPr>
        <w:pStyle w:val="Heading2"/>
      </w:pPr>
      <w:r>
        <w:t>Tableau à publier après scan</w:t>
      </w:r>
    </w:p>
    <w:tbl>
      <w:tblPr>
        <w:tblStyle w:val="TableGrid"/>
        <w:tblW w:type="dxa" w:w="9500"/>
        <w:jc w:val="left"/>
        <w:tblLayout w:type="fixed"/>
        <w:tblLook w:firstColumn="1" w:firstRow="1" w:lastColumn="0" w:lastRow="0" w:noHBand="0" w:noVBand="1" w:val="04A0"/>
        <w:tblInd w:w="120" w:type="dxa"/>
      </w:tblPr>
      <w:tblGrid>
        <w:gridCol w:w="2600"/>
        <w:gridCol w:w="3000"/>
        <w:gridCol w:w="2400"/>
        <w:gridCol w:w="15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Traceur / fournisseur</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Finalité</w:t>
            </w:r>
          </w:p>
        </w:tc>
        <w:tc>
          <w:tcPr>
            <w:tcW w:type="dxa" w:w="2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Base / consentement</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Durée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INVENTORIER]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Authentification ou sécurité</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qualifier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INVENTORIER]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Préférence de langue</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Strictement nécessaire si confirmé</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INVENTORIER]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Mesure d’audience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Consentement ou exemption à démontrer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INVENTORIER]</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Contenu tiers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Consentement préalable si requis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r>
        <w:br w:type="page"/>
      </w:r>
    </w:p>
    <w:p>
      <w:pPr>
        <w:keepNext/>
        <w:spacing w:before="440" w:after="100"/>
      </w:pPr>
      <w:r>
        <w:rPr>
          <w:rFonts w:ascii="Arial" w:hAnsi="Arial" w:eastAsia="Arial"/>
          <w:b/>
          <w:color w:val="C6A15B"/>
          <w:sz w:val="16"/>
        </w:rPr>
        <w:t>CHAPITRE 05</w:t>
      </w:r>
    </w:p>
    <w:p>
      <w:pPr>
        <w:pStyle w:val="Heading1"/>
        <w:pageBreakBefore w:val="0"/>
      </w:pPr>
      <w:r>
        <w:t>Conditions générales d’utilisation</w:t>
      </w:r>
    </w:p>
    <w:p>
      <w:pPr>
        <w:pStyle w:val="Heading2"/>
        <w:spacing w:before="180" w:after="100"/>
      </w:pPr>
      <w:r>
        <w:rPr>
          <w:rFonts w:ascii="Arial" w:hAnsi="Arial" w:eastAsia="Arial"/>
          <w:b/>
          <w:color w:val="155A3E"/>
          <w:sz w:val="23"/>
        </w:rPr>
        <w:t>1. Objet</w:t>
      </w:r>
    </w:p>
    <w:p>
      <w:pPr>
        <w:spacing w:after="140" w:line="307" w:lineRule="auto"/>
      </w:pPr>
      <w:r>
        <w:rPr>
          <w:rFonts w:ascii="Arial" w:hAnsi="Arial" w:eastAsia="Arial"/>
          <w:i w:val="0"/>
          <w:color w:val="162019"/>
          <w:sz w:val="20"/>
        </w:rPr>
        <w:t>Les présentes conditions encadrent la consultation du site Pacturion et de ses contenus institutionnels, techniques et de recherche. Elles ne constituent pas des conditions de vente, une offre de token, un service financier ou un contrat de conservation, échange, conseil, transfert ou négociation de crypto-actifs.</w:t>
      </w:r>
    </w:p>
    <w:p>
      <w:pPr>
        <w:pStyle w:val="Heading2"/>
        <w:spacing w:before="180" w:after="100"/>
      </w:pPr>
      <w:r>
        <w:rPr>
          <w:rFonts w:ascii="Arial" w:hAnsi="Arial" w:eastAsia="Arial"/>
          <w:b/>
          <w:color w:val="155A3E"/>
          <w:sz w:val="23"/>
        </w:rPr>
        <w:t>2. Accès</w:t>
      </w:r>
    </w:p>
    <w:p>
      <w:pPr>
        <w:spacing w:after="140" w:line="307" w:lineRule="auto"/>
      </w:pPr>
      <w:r>
        <w:rPr>
          <w:rFonts w:ascii="Arial" w:hAnsi="Arial" w:eastAsia="Arial"/>
          <w:i w:val="0"/>
          <w:color w:val="162019"/>
          <w:sz w:val="20"/>
        </w:rPr>
        <w:t>L’accès peut être interrompu, modifié ou restreint pour maintenance, sécurité, évolution du projet ou contrainte technique. Aucun niveau de disponibilité n’est garanti. Si une authentification est exigée, l’utilisateur reste responsable de la sécurité de son compte et doit signaler tout accès suspect au fournisseur d’identité concerné et à Pacturion lorsque pertinent.</w:t>
      </w:r>
    </w:p>
    <w:p>
      <w:pPr>
        <w:pStyle w:val="Heading2"/>
        <w:spacing w:before="180" w:after="100"/>
      </w:pPr>
      <w:r>
        <w:rPr>
          <w:rFonts w:ascii="Arial" w:hAnsi="Arial" w:eastAsia="Arial"/>
          <w:b/>
          <w:color w:val="155A3E"/>
          <w:sz w:val="23"/>
        </w:rPr>
        <w:t>3. Usage autorisé</w:t>
      </w:r>
    </w:p>
    <w:p>
      <w:pPr>
        <w:spacing w:after="140" w:line="307" w:lineRule="auto"/>
      </w:pPr>
      <w:r>
        <w:rPr>
          <w:rFonts w:ascii="Arial" w:hAnsi="Arial" w:eastAsia="Arial"/>
          <w:i w:val="0"/>
          <w:color w:val="162019"/>
          <w:sz w:val="20"/>
        </w:rPr>
        <w:t>L’utilisateur peut consulter les contenus pour son information personnelle ou professionnelle interne, dans le respect des droits applicables. Toute présentation publique doit conserver les avertissements, la date, la version et le périmètre expérimental.</w:t>
      </w:r>
    </w:p>
    <w:p>
      <w:pPr>
        <w:pStyle w:val="Heading2"/>
        <w:spacing w:before="180" w:after="100"/>
      </w:pPr>
      <w:r>
        <w:rPr>
          <w:rFonts w:ascii="Arial" w:hAnsi="Arial" w:eastAsia="Arial"/>
          <w:b/>
          <w:color w:val="155A3E"/>
          <w:sz w:val="23"/>
        </w:rPr>
        <w:t>4. Usage interdit</w:t>
      </w:r>
    </w:p>
    <w:p>
      <w:pPr>
        <w:spacing w:after="140" w:line="307" w:lineRule="auto"/>
      </w:pPr>
      <w:r>
        <w:rPr>
          <w:rFonts w:ascii="Arial" w:hAnsi="Arial" w:eastAsia="Arial"/>
          <w:i w:val="0"/>
          <w:color w:val="162019"/>
          <w:sz w:val="20"/>
        </w:rPr>
        <w:t>Il est interdit de tenter un accès non autorisé, perturber le site, extraire massivement les contenus, contourner une mesure de sécurité, introduire un code malveillant, usurper une identité, présenter un résultat testnet comme une transaction réelle ou utiliser les contenus pour tromper un tiers.</w:t>
      </w:r>
    </w:p>
    <w:p>
      <w:pPr>
        <w:pStyle w:val="Heading2"/>
        <w:spacing w:before="180" w:after="100"/>
      </w:pPr>
      <w:r>
        <w:rPr>
          <w:rFonts w:ascii="Arial" w:hAnsi="Arial" w:eastAsia="Arial"/>
          <w:b/>
          <w:color w:val="155A3E"/>
          <w:sz w:val="23"/>
        </w:rPr>
        <w:t>5. Informations techniques</w:t>
      </w:r>
    </w:p>
    <w:p>
      <w:pPr>
        <w:spacing w:after="140" w:line="307" w:lineRule="auto"/>
      </w:pPr>
      <w:r>
        <w:rPr>
          <w:rFonts w:ascii="Arial" w:hAnsi="Arial" w:eastAsia="Arial"/>
          <w:i w:val="0"/>
          <w:color w:val="162019"/>
          <w:sz w:val="20"/>
        </w:rPr>
        <w:t>Les contenus sont fournis à des fins d’information et peuvent évoluer. Les exemples, architectures, métriques ou résultats internes ne constituent pas une garantie de performance, de sécurité, de disponibilité, d’adoption ou de conformité.</w:t>
      </w:r>
    </w:p>
    <w:p>
      <w:pPr>
        <w:pStyle w:val="Heading2"/>
        <w:spacing w:before="180" w:after="100"/>
      </w:pPr>
      <w:r>
        <w:rPr>
          <w:rFonts w:ascii="Arial" w:hAnsi="Arial" w:eastAsia="Arial"/>
          <w:b/>
          <w:color w:val="155A3E"/>
          <w:sz w:val="23"/>
        </w:rPr>
        <w:t>6. Liens externes</w:t>
      </w:r>
    </w:p>
    <w:p>
      <w:pPr>
        <w:spacing w:after="140" w:line="307" w:lineRule="auto"/>
      </w:pPr>
      <w:r>
        <w:rPr>
          <w:rFonts w:ascii="Arial" w:hAnsi="Arial" w:eastAsia="Arial"/>
          <w:i w:val="0"/>
          <w:color w:val="162019"/>
          <w:sz w:val="20"/>
        </w:rPr>
        <w:t>Les liens externes sont fournis pour faciliter l’accès à une source. Pacturion ne contrôle pas en permanence leur contenu, disponibilité ou politique de traitement. Leur présence ne vaut ni partenariat, ni approbation, ni responsabilité conjointe automatique.</w:t>
      </w:r>
    </w:p>
    <w:p>
      <w:pPr>
        <w:pStyle w:val="Heading2"/>
        <w:spacing w:before="180" w:after="100"/>
      </w:pPr>
      <w:r>
        <w:rPr>
          <w:rFonts w:ascii="Arial" w:hAnsi="Arial" w:eastAsia="Arial"/>
          <w:b/>
          <w:color w:val="155A3E"/>
          <w:sz w:val="23"/>
        </w:rPr>
        <w:t>7. Responsabilité</w:t>
      </w:r>
    </w:p>
    <w:p>
      <w:pPr>
        <w:spacing w:after="140" w:line="307" w:lineRule="auto"/>
      </w:pPr>
      <w:r>
        <w:rPr>
          <w:rFonts w:ascii="Arial" w:hAnsi="Arial" w:eastAsia="Arial"/>
          <w:i w:val="0"/>
          <w:color w:val="162019"/>
          <w:sz w:val="20"/>
        </w:rPr>
        <w:t>Pacturion répond de ses obligations dans les limites du droit applicable. Aucune clause ne doit exclure une responsabilité qui ne peut légalement l’être. L’utilisateur doit vérifier les informations critiques auprès des sources officielles et ne pas engager de fonds ou de décision irréversible sur la seule base du site.</w:t>
      </w:r>
    </w:p>
    <w:p>
      <w:pPr>
        <w:pStyle w:val="Heading2"/>
        <w:spacing w:before="180" w:after="100"/>
      </w:pPr>
      <w:r>
        <w:rPr>
          <w:rFonts w:ascii="Arial" w:hAnsi="Arial" w:eastAsia="Arial"/>
          <w:b/>
          <w:color w:val="155A3E"/>
          <w:sz w:val="23"/>
        </w:rPr>
        <w:t>8. Droit applicable et contact</w:t>
      </w:r>
    </w:p>
    <w:p>
      <w:pPr>
        <w:spacing w:after="140" w:line="307" w:lineRule="auto"/>
      </w:pPr>
      <w:r>
        <w:rPr>
          <w:rFonts w:ascii="Arial" w:hAnsi="Arial" w:eastAsia="Arial"/>
          <w:i w:val="0"/>
          <w:color w:val="162019"/>
          <w:sz w:val="20"/>
        </w:rPr>
        <w:t>Les présentes conditions sont régies par le droit français, sous réserve des règles impératives applicables. Avant toute clause attributive de juridiction, vente à un consommateur ou médiation, une revue juridique spécifique est requise. Question juridique, technique ou signalement : [ADRESSE DE CONTACT]. Version : 1.0. Date de dernière mise à jour : 8 septembre 2026.</w:t>
      </w:r>
    </w:p>
    <w:p>
      <w:r>
        <w:br w:type="page"/>
      </w:r>
    </w:p>
    <w:p>
      <w:pPr>
        <w:keepNext/>
        <w:spacing w:before="440" w:after="100"/>
      </w:pPr>
      <w:r>
        <w:rPr>
          <w:rFonts w:ascii="Arial" w:hAnsi="Arial" w:eastAsia="Arial"/>
          <w:b/>
          <w:color w:val="C6A15B"/>
          <w:sz w:val="16"/>
        </w:rPr>
        <w:t>CHAPITRE 06</w:t>
      </w:r>
    </w:p>
    <w:p>
      <w:pPr>
        <w:pStyle w:val="Heading1"/>
        <w:pageBreakBefore w:val="0"/>
      </w:pPr>
      <w:r>
        <w:t>Avertissement ALPHA, VERIDIA et MiCA</w:t>
      </w:r>
    </w:p>
    <w:p>
      <w:pPr>
        <w:keepNext/>
        <w:spacing w:after="320"/>
      </w:pPr>
      <w:r>
        <w:rPr>
          <w:rFonts w:ascii="Arial" w:hAnsi="Arial" w:eastAsia="Arial"/>
          <w:i/>
          <w:color w:val="66736B"/>
          <w:sz w:val="25"/>
        </w:rPr>
        <w:t>Bloc à publier sur les pages Accueil, Protocole, Modèle économique, Recherche et Mentions légales.</w:t>
      </w:r>
    </w:p>
    <w:p>
      <w:pPr>
        <w:pStyle w:val="Heading2"/>
      </w:pPr>
      <w:r>
        <w:t>Version complète</w:t>
      </w:r>
    </w:p>
    <w:p>
      <w:pPr>
        <w:spacing w:before="100" w:after="180" w:line="283" w:lineRule="auto"/>
        <w:ind w:left="227" w:right="170"/>
        <w:shd w:fill="F6F0E3"/>
        <w:pBdr>
          <w:left w:val="single" w:sz="18" w:space="8" w:color="C6A15B"/>
        </w:pBdr>
      </w:pPr>
      <w:r>
        <w:rPr>
          <w:rFonts w:ascii="Arial" w:hAnsi="Arial" w:eastAsia="Arial"/>
          <w:b/>
          <w:color w:val="C6A15B"/>
          <w:sz w:val="16"/>
        </w:rPr>
        <w:t>AVERTISSEMENT</w:t>
        <w:br/>
      </w:r>
      <w:r>
        <w:rPr>
          <w:rFonts w:ascii="Arial" w:hAnsi="Arial" w:eastAsia="Arial"/>
          <w:b w:val="0"/>
          <w:color w:val="162019"/>
          <w:sz w:val="20"/>
        </w:rPr>
        <w:t>Pacturion présente un projet de recherche et de validation technique. ALPHA est une hypothèse produit interne non validée par le marché. VERIDIA Protocol est une infrastructure expérimentale ; l’éventuel actif VERIDIA demeure dormant et n’est ni offert, ni vendu, ni distribué, ni admis à la négociation. Le site ne fournit aucun service sur crypto-actifs, aucun conseil financier et aucune promesse de rendement, de prix, de liquidité ou de cotation. Les expériences sont limitées au local et au testnet, sans fonds réels. Aucun audit indépendant ni approbation réglementaire n’est déclaré. Pacturion ne revendique pas de conformité MiCA ; toute activation économique reste subordonnée à une qualification juridique écrite, aux autorisations éventuellement requises et aux gates internes de lancement.</w:t>
      </w:r>
    </w:p>
    <w:p>
      <w:pPr>
        <w:pStyle w:val="Heading2"/>
      </w:pPr>
      <w:r>
        <w:t>Version courte pour pied de page</w:t>
      </w:r>
    </w:p>
    <w:p>
      <w:pPr>
        <w:spacing w:after="140" w:line="307" w:lineRule="auto"/>
      </w:pPr>
      <w:r>
        <w:rPr>
          <w:rFonts w:ascii="Arial" w:hAnsi="Arial" w:eastAsia="Arial"/>
          <w:i w:val="0"/>
          <w:color w:val="162019"/>
          <w:sz w:val="20"/>
        </w:rPr>
        <w:t>Recherche et testnet uniquement. Aucun fonds réel, token distribué, service sur crypto-actifs, rendement, cotation, audit indépendant ou approbation réglementaire déclaré. VERIDIA demeure dormant.</w:t>
      </w:r>
    </w:p>
    <w:p>
      <w:pPr>
        <w:pStyle w:val="Heading2"/>
      </w:pPr>
      <w:r>
        <w:t>Formulations interdites</w:t>
      </w:r>
    </w:p>
    <w:tbl>
      <w:tblPr>
        <w:tblStyle w:val="TableGrid"/>
        <w:tblW w:type="dxa" w:w="9500"/>
        <w:jc w:val="left"/>
        <w:tblLayout w:type="fixed"/>
        <w:tblLook w:firstColumn="1" w:firstRow="1" w:lastColumn="0" w:lastRow="0" w:noHBand="0" w:noVBand="1" w:val="04A0"/>
        <w:tblInd w:w="120" w:type="dxa"/>
      </w:tblPr>
      <w:tblGrid>
        <w:gridCol w:w="3900"/>
        <w:gridCol w:w="5600"/>
      </w:tblGrid>
      <w:tr>
        <w:trPr>
          <w:tblHeader w:val="true"/>
          <w:cantSplit/>
        </w:trPr>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Ne pas écrire</w:t>
            </w:r>
          </w:p>
        </w:tc>
        <w:tc>
          <w:tcPr>
            <w:tcW w:type="dxa" w:w="5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Écrire si exact</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Pacturion est conforme MiCA »</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Qualification juridique requise avant activation économique »</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VERIDIA est lancé »</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Hypothèse de token dormante ; aucune distribution »</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Protocole audité »</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Audit indépendant non réalisé »</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Investissez / rendement potentiel »</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Décrire la recherche, les fonctions et les risques vérifiables</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Partenaires »</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Nommer uniquement une relation autorisée, vérifiable et correctement qualifiée</w:t>
            </w:r>
          </w:p>
        </w:tc>
      </w:tr>
    </w:tbl>
    <w:p>
      <w:pPr>
        <w:spacing w:after="40"/>
      </w:pPr>
    </w:p>
    <w:p>
      <w:r>
        <w:br w:type="page"/>
      </w:r>
    </w:p>
    <w:p>
      <w:pPr>
        <w:keepNext/>
        <w:spacing w:before="440" w:after="100"/>
      </w:pPr>
      <w:r>
        <w:rPr>
          <w:rFonts w:ascii="Arial" w:hAnsi="Arial" w:eastAsia="Arial"/>
          <w:b/>
          <w:color w:val="C6A15B"/>
          <w:sz w:val="16"/>
        </w:rPr>
        <w:t>CHAPITRE 07</w:t>
      </w:r>
    </w:p>
    <w:p>
      <w:pPr>
        <w:pStyle w:val="Heading1"/>
        <w:pageBreakBefore w:val="0"/>
      </w:pPr>
      <w:r>
        <w:t>Mentions courtes pour formulaires et bannière</w:t>
      </w:r>
    </w:p>
    <w:p>
      <w:pPr>
        <w:pStyle w:val="Heading2"/>
      </w:pPr>
      <w:r>
        <w:t>Sous le formulaire de contact</w:t>
      </w:r>
    </w:p>
    <w:p>
      <w:pPr>
        <w:spacing w:after="140" w:line="307" w:lineRule="auto"/>
      </w:pPr>
      <w:r>
        <w:rPr>
          <w:rFonts w:ascii="Arial" w:hAnsi="Arial" w:eastAsia="Arial"/>
          <w:i w:val="0"/>
          <w:color w:val="162019"/>
          <w:sz w:val="20"/>
        </w:rPr>
        <w:t>Les informations saisies sont traitées par [RESPONSABLE] afin de répondre à votre demande. Les champs [LISTE] sont obligatoires ; sans eux, nous pourrons ne pas être en mesure de vous répondre. Pour connaître les destinataires, la durée de conservation et exercer vos droits, consultez la Politique de confidentialité ou écrivez à [ADRESSE VIE PRIVÉE]. Vous pouvez introduire une réclamation auprès de la CNIL.</w:t>
      </w:r>
    </w:p>
    <w:p>
      <w:pPr>
        <w:pStyle w:val="Heading2"/>
      </w:pPr>
      <w:r>
        <w:t>Case de prospection distincte</w:t>
      </w:r>
    </w:p>
    <w:p>
      <w:pPr>
        <w:spacing w:after="140" w:line="307" w:lineRule="auto"/>
      </w:pPr>
      <w:r>
        <w:rPr>
          <w:rFonts w:ascii="Arial" w:hAnsi="Arial" w:eastAsia="Arial"/>
          <w:i w:val="0"/>
          <w:color w:val="162019"/>
          <w:sz w:val="20"/>
        </w:rPr>
        <w:t>[ ] J’accepte de recevoir les actualités de Pacturion par courrier électronique. Je peux retirer mon consentement à tout moment.</w:t>
      </w:r>
    </w:p>
    <w:p>
      <w:pPr>
        <w:spacing w:before="100" w:after="180" w:line="283" w:lineRule="auto"/>
        <w:ind w:left="227" w:right="170"/>
        <w:shd w:fill="F6F0E3"/>
        <w:pBdr>
          <w:left w:val="single" w:sz="18" w:space="8" w:color="C6A15B"/>
        </w:pBdr>
      </w:pPr>
      <w:r>
        <w:rPr>
          <w:rFonts w:ascii="Arial" w:hAnsi="Arial" w:eastAsia="Arial"/>
          <w:b/>
          <w:color w:val="C6A15B"/>
          <w:sz w:val="16"/>
        </w:rPr>
        <w:t>INTERDIT</w:t>
        <w:br/>
      </w:r>
      <w:r>
        <w:rPr>
          <w:rFonts w:ascii="Arial" w:hAnsi="Arial" w:eastAsia="Arial"/>
          <w:b w:val="0"/>
          <w:color w:val="162019"/>
          <w:sz w:val="20"/>
        </w:rPr>
        <w:t>Ne pas fusionner l’accord de prospection avec l’envoi nécessaire du formulaire, ne pas précocher la case et ne pas conditionner une réponse de contact à l’acceptation d’une newsletter.</w:t>
      </w:r>
    </w:p>
    <w:p>
      <w:pPr>
        <w:pStyle w:val="Heading2"/>
      </w:pPr>
      <w:r>
        <w:t>Premier niveau de la bannière cookies</w:t>
      </w:r>
    </w:p>
    <w:p>
      <w:pPr>
        <w:spacing w:after="140" w:line="307" w:lineRule="auto"/>
      </w:pPr>
      <w:r>
        <w:rPr>
          <w:rFonts w:ascii="Arial" w:hAnsi="Arial" w:eastAsia="Arial"/>
          <w:i w:val="0"/>
          <w:color w:val="162019"/>
          <w:sz w:val="20"/>
        </w:rPr>
        <w:t>Pacturion et ses prestataires utilisent des traceurs nécessaires au fonctionnement et, avec votre accord, [FINALITÉS RÉELLES]. Vous pouvez accepter, refuser ou personnaliser vos choix. Votre refus n’empêche pas l’accès aux fonctions qui ne nécessitent pas ces traceurs.</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Bouton</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Comportement</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 refuser</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Même visibilité et facilité que l’acceptation ; aucun dépôt non essentiel</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 accepter</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Active uniquement les finalités décrites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Personnaliser</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Choix granulaire, finalités désactivées par défaut</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Gérer mes choix</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Lien permanent dans le pied de page</w:t>
            </w:r>
          </w:p>
        </w:tc>
      </w:tr>
    </w:tbl>
    <w:p>
      <w:pPr>
        <w:spacing w:after="40"/>
      </w:pPr>
    </w:p>
    <w:p>
      <w:pPr>
        <w:pStyle w:val="Heading2"/>
      </w:pPr>
      <w:r>
        <w:t>Accusé de réception</w:t>
      </w:r>
    </w:p>
    <w:p>
      <w:pPr>
        <w:spacing w:after="140" w:line="307" w:lineRule="auto"/>
      </w:pPr>
      <w:r>
        <w:rPr>
          <w:rFonts w:ascii="Arial" w:hAnsi="Arial" w:eastAsia="Arial"/>
          <w:i w:val="0"/>
          <w:color w:val="162019"/>
          <w:sz w:val="20"/>
        </w:rPr>
        <w:t>Votre demande a été transmise. N’envoyez aucune clé privée, seed phrase, mot de passe, donnée sensible ou information confidentielle non nécessaire. Pacturion ne vous demandera jamais de communiquer une clé privée.</w:t>
      </w:r>
    </w:p>
    <w:p>
      <w:r>
        <w:br w:type="page"/>
      </w:r>
    </w:p>
    <w:p>
      <w:pPr>
        <w:keepNext/>
        <w:spacing w:before="440" w:after="100"/>
      </w:pPr>
      <w:r>
        <w:rPr>
          <w:rFonts w:ascii="Arial" w:hAnsi="Arial" w:eastAsia="Arial"/>
          <w:b/>
          <w:color w:val="C6A15B"/>
          <w:sz w:val="16"/>
        </w:rPr>
        <w:t>CHAPITRE 08</w:t>
      </w:r>
    </w:p>
    <w:p>
      <w:pPr>
        <w:pStyle w:val="Heading1"/>
        <w:pageBreakBefore w:val="0"/>
      </w:pPr>
      <w:r>
        <w:t>Propriété intellectuelle et liens</w:t>
      </w:r>
    </w:p>
    <w:p>
      <w:pPr>
        <w:pStyle w:val="Heading2"/>
      </w:pPr>
      <w:r>
        <w:t>Actifs à inventorier</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Actif</w:t>
            </w:r>
          </w:p>
        </w:tc>
        <w:tc>
          <w:tcPr>
            <w:tcW w:type="dxa" w:w="68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Contrôle avant publication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Marque Pacturion</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Titulaire, dépôt éventuel, classes et droit d’usage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VERIDIA</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Disponibilité, titulaire et périmètre d’usage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Logo et bannière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Auteur, cession ou licence, fichiers sources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Textes et documents</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Auteur, date, version et autorisation de publication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Code et dépendances</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Licences open source, notices et obligations de redistribution</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Polices, icônes, images</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Licence web et attribution éventuelle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Contenus générés</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Provenance, droits de tiers et contrôle humain</w:t>
            </w:r>
          </w:p>
        </w:tc>
      </w:tr>
    </w:tbl>
    <w:p>
      <w:pPr>
        <w:spacing w:after="40"/>
      </w:pPr>
    </w:p>
    <w:p>
      <w:pPr>
        <w:pStyle w:val="Heading2"/>
      </w:pPr>
      <w:r>
        <w:t>Règles de liens et de références</w:t>
      </w:r>
    </w:p>
    <w:p>
      <w:pPr>
        <w:numPr>
          <w:ilvl w:val="0"/>
          <w:numId w:val="17"/>
        </w:numPr>
        <w:spacing w:after="80" w:line="283" w:lineRule="auto"/>
      </w:pPr>
      <w:r>
        <w:rPr>
          <w:rFonts w:ascii="Arial" w:hAnsi="Arial" w:eastAsia="Arial"/>
          <w:color w:val="162019"/>
          <w:sz w:val="20"/>
        </w:rPr>
        <w:t>ne pas utiliser un logo tiers pour suggérer un partenariat ;</w:t>
      </w:r>
    </w:p>
    <w:p>
      <w:pPr>
        <w:numPr>
          <w:ilvl w:val="0"/>
          <w:numId w:val="17"/>
        </w:numPr>
        <w:spacing w:after="80" w:line="283" w:lineRule="auto"/>
      </w:pPr>
      <w:r>
        <w:rPr>
          <w:rFonts w:ascii="Arial" w:hAnsi="Arial" w:eastAsia="Arial"/>
          <w:color w:val="162019"/>
          <w:sz w:val="20"/>
        </w:rPr>
        <w:t>lier directement les sources officielles lorsque l’affirmation est réglementaire ;</w:t>
      </w:r>
    </w:p>
    <w:p>
      <w:pPr>
        <w:numPr>
          <w:ilvl w:val="0"/>
          <w:numId w:val="17"/>
        </w:numPr>
        <w:spacing w:after="80" w:line="283" w:lineRule="auto"/>
      </w:pPr>
      <w:r>
        <w:rPr>
          <w:rFonts w:ascii="Arial" w:hAnsi="Arial" w:eastAsia="Arial"/>
          <w:color w:val="162019"/>
          <w:sz w:val="20"/>
        </w:rPr>
        <w:t>indiquer la date de consultation pour les contenus susceptibles d’évoluer ;</w:t>
      </w:r>
    </w:p>
    <w:p>
      <w:pPr>
        <w:numPr>
          <w:ilvl w:val="0"/>
          <w:numId w:val="17"/>
        </w:numPr>
        <w:spacing w:after="80" w:line="283" w:lineRule="auto"/>
      </w:pPr>
      <w:r>
        <w:rPr>
          <w:rFonts w:ascii="Arial" w:hAnsi="Arial" w:eastAsia="Arial"/>
          <w:color w:val="162019"/>
          <w:sz w:val="20"/>
        </w:rPr>
        <w:t>ne pas republier intégralement un contenu protégé ;</w:t>
      </w:r>
    </w:p>
    <w:p>
      <w:pPr>
        <w:numPr>
          <w:ilvl w:val="0"/>
          <w:numId w:val="17"/>
        </w:numPr>
        <w:spacing w:after="80" w:line="283" w:lineRule="auto"/>
      </w:pPr>
      <w:r>
        <w:rPr>
          <w:rFonts w:ascii="Arial" w:hAnsi="Arial" w:eastAsia="Arial"/>
          <w:color w:val="162019"/>
          <w:sz w:val="20"/>
        </w:rPr>
        <w:t>retirer ou corriger rapidement un contenu dont les droits sont contestés de façon crédible.</w:t>
      </w:r>
    </w:p>
    <w:p>
      <w:r>
        <w:br w:type="page"/>
      </w:r>
    </w:p>
    <w:p>
      <w:pPr>
        <w:keepNext/>
        <w:spacing w:before="440" w:after="100"/>
      </w:pPr>
      <w:r>
        <w:rPr>
          <w:rFonts w:ascii="Arial" w:hAnsi="Arial" w:eastAsia="Arial"/>
          <w:b/>
          <w:color w:val="C6A15B"/>
          <w:sz w:val="16"/>
        </w:rPr>
        <w:t>CHAPITRE 09</w:t>
      </w:r>
    </w:p>
    <w:p>
      <w:pPr>
        <w:pStyle w:val="Heading1"/>
        <w:pageBreakBefore w:val="0"/>
      </w:pPr>
      <w:r>
        <w:t>Plan d’intégration technique</w:t>
      </w:r>
    </w:p>
    <w:p>
      <w:pPr>
        <w:pStyle w:val="Heading2"/>
      </w:pPr>
      <w:r>
        <w:t>Routes recommandées</w:t>
      </w:r>
    </w:p>
    <w:tbl>
      <w:tblPr>
        <w:tblStyle w:val="TableGrid"/>
        <w:tblW w:type="dxa" w:w="9500"/>
        <w:jc w:val="left"/>
        <w:tblLayout w:type="fixed"/>
        <w:tblLook w:firstColumn="1" w:firstRow="1" w:lastColumn="0" w:lastRow="0" w:noHBand="0" w:noVBand="1" w:val="04A0"/>
        <w:tblInd w:w="120" w:type="dxa"/>
      </w:tblPr>
      <w:tblGrid>
        <w:gridCol w:w="2600"/>
        <w:gridCol w:w="3100"/>
        <w:gridCol w:w="38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Route FR</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Titre</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/fr/mentions-legales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Mentions légales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Accessible depuis toutes les pages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/fr/confidentialite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de confidentialité</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Distincte des CGU</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/fr/cookies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Cookies et traceurs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Inventaire et gestion des choix</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/fr/conditions-utilisation</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Conditions d’utilisation</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et date visibles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/fr/avertissement</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Avertissement recherche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Visible avant toute interaction sensible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/fr/contact</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Contact et droits</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Mention courte au point de collecte</w:t>
            </w:r>
          </w:p>
        </w:tc>
      </w:tr>
    </w:tbl>
    <w:p>
      <w:pPr>
        <w:spacing w:after="40"/>
      </w:pPr>
    </w:p>
    <w:p>
      <w:pPr>
        <w:pStyle w:val="Heading2"/>
      </w:pPr>
      <w:r>
        <w:t>Séquence d’implémentation</w:t>
      </w:r>
    </w:p>
    <w:p>
      <w:pPr>
        <w:numPr>
          <w:ilvl w:val="0"/>
          <w:numId w:val="18"/>
        </w:numPr>
        <w:spacing w:after="80" w:line="283" w:lineRule="auto"/>
      </w:pPr>
      <w:r>
        <w:rPr>
          <w:rFonts w:ascii="Arial" w:hAnsi="Arial" w:eastAsia="Arial"/>
          <w:color w:val="162019"/>
          <w:sz w:val="20"/>
        </w:rPr>
        <w:t>Corriger les onglets et liens de navigation existants ; tester clavier, mobile et ouverture directe.</w:t>
      </w:r>
    </w:p>
    <w:p>
      <w:pPr>
        <w:numPr>
          <w:ilvl w:val="0"/>
          <w:numId w:val="18"/>
        </w:numPr>
        <w:spacing w:after="80" w:line="283" w:lineRule="auto"/>
      </w:pPr>
      <w:r>
        <w:rPr>
          <w:rFonts w:ascii="Arial" w:hAnsi="Arial" w:eastAsia="Arial"/>
          <w:color w:val="162019"/>
          <w:sz w:val="20"/>
        </w:rPr>
        <w:t>Déterminer l’identité exacte de l’éditeur et compléter les mentions légales.</w:t>
      </w:r>
    </w:p>
    <w:p>
      <w:pPr>
        <w:numPr>
          <w:ilvl w:val="0"/>
          <w:numId w:val="18"/>
        </w:numPr>
        <w:spacing w:after="80" w:line="283" w:lineRule="auto"/>
      </w:pPr>
      <w:r>
        <w:rPr>
          <w:rFonts w:ascii="Arial" w:hAnsi="Arial" w:eastAsia="Arial"/>
          <w:color w:val="162019"/>
          <w:sz w:val="20"/>
        </w:rPr>
        <w:t>Inventorier les traitements, sous-traitants, lieux de traitement et durées.</w:t>
      </w:r>
    </w:p>
    <w:p>
      <w:pPr>
        <w:numPr>
          <w:ilvl w:val="0"/>
          <w:numId w:val="18"/>
        </w:numPr>
        <w:spacing w:after="80" w:line="283" w:lineRule="auto"/>
      </w:pPr>
      <w:r>
        <w:rPr>
          <w:rFonts w:ascii="Arial" w:hAnsi="Arial" w:eastAsia="Arial"/>
          <w:color w:val="162019"/>
          <w:sz w:val="20"/>
        </w:rPr>
        <w:t>Scanner le site avant et après consentement pour identifier tous les traceurs.</w:t>
      </w:r>
    </w:p>
    <w:p>
      <w:pPr>
        <w:numPr>
          <w:ilvl w:val="0"/>
          <w:numId w:val="18"/>
        </w:numPr>
        <w:spacing w:after="80" w:line="283" w:lineRule="auto"/>
      </w:pPr>
      <w:r>
        <w:rPr>
          <w:rFonts w:ascii="Arial" w:hAnsi="Arial" w:eastAsia="Arial"/>
          <w:color w:val="162019"/>
          <w:sz w:val="20"/>
        </w:rPr>
        <w:t>Implémenter le mécanisme de choix sans dépôt préalable de traceurs non essentiels.</w:t>
      </w:r>
    </w:p>
    <w:p>
      <w:pPr>
        <w:numPr>
          <w:ilvl w:val="0"/>
          <w:numId w:val="18"/>
        </w:numPr>
        <w:spacing w:after="80" w:line="283" w:lineRule="auto"/>
      </w:pPr>
      <w:r>
        <w:rPr>
          <w:rFonts w:ascii="Arial" w:hAnsi="Arial" w:eastAsia="Arial"/>
          <w:color w:val="162019"/>
          <w:sz w:val="20"/>
        </w:rPr>
        <w:t>Publier les pages FR ; produire ensuite une traduction EN fidèle, sans changer la portée.</w:t>
      </w:r>
    </w:p>
    <w:p>
      <w:pPr>
        <w:numPr>
          <w:ilvl w:val="0"/>
          <w:numId w:val="18"/>
        </w:numPr>
        <w:spacing w:after="80" w:line="283" w:lineRule="auto"/>
      </w:pPr>
      <w:r>
        <w:rPr>
          <w:rFonts w:ascii="Arial" w:hAnsi="Arial" w:eastAsia="Arial"/>
          <w:color w:val="162019"/>
          <w:sz w:val="20"/>
        </w:rPr>
        <w:t>Ajouter version, date, propriétaire et procédure de mise à jour.</w:t>
      </w:r>
    </w:p>
    <w:p>
      <w:pPr>
        <w:numPr>
          <w:ilvl w:val="0"/>
          <w:numId w:val="18"/>
        </w:numPr>
        <w:spacing w:after="80" w:line="283" w:lineRule="auto"/>
      </w:pPr>
      <w:r>
        <w:rPr>
          <w:rFonts w:ascii="Arial" w:hAnsi="Arial" w:eastAsia="Arial"/>
          <w:color w:val="162019"/>
          <w:sz w:val="20"/>
        </w:rPr>
        <w:t>Tester les liens depuis l’écran d’entrée, le pied de page et tous les formulaires.</w:t>
      </w:r>
    </w:p>
    <w:p>
      <w:pPr>
        <w:spacing w:before="100" w:after="180" w:line="283" w:lineRule="auto"/>
        <w:ind w:left="227" w:right="170"/>
        <w:shd w:fill="EDF3EF"/>
        <w:pBdr>
          <w:left w:val="single" w:sz="18" w:space="8" w:color="155A3E"/>
        </w:pBdr>
      </w:pPr>
      <w:r>
        <w:rPr>
          <w:rFonts w:ascii="Arial" w:hAnsi="Arial" w:eastAsia="Arial"/>
          <w:b/>
          <w:color w:val="155A3E"/>
          <w:sz w:val="16"/>
        </w:rPr>
        <w:t>CONTRÔLE CRITIQUE</w:t>
        <w:br/>
      </w:r>
      <w:r>
        <w:rPr>
          <w:rFonts w:ascii="Arial" w:hAnsi="Arial" w:eastAsia="Arial"/>
          <w:b w:val="0"/>
          <w:color w:val="162019"/>
          <w:sz w:val="20"/>
        </w:rPr>
        <w:t>La traduction anglaise ne remplace pas la version française applicable au public visé en France. Les deux versions doivent rester matériellement cohérentes.</w:t>
      </w:r>
    </w:p>
    <w:p>
      <w:r>
        <w:br w:type="page"/>
      </w:r>
    </w:p>
    <w:p>
      <w:pPr>
        <w:keepNext/>
        <w:spacing w:before="440" w:after="100"/>
      </w:pPr>
      <w:r>
        <w:rPr>
          <w:rFonts w:ascii="Arial" w:hAnsi="Arial" w:eastAsia="Arial"/>
          <w:b/>
          <w:color w:val="C6A15B"/>
          <w:sz w:val="16"/>
        </w:rPr>
        <w:t>CHAPITRE 10</w:t>
      </w:r>
    </w:p>
    <w:p>
      <w:pPr>
        <w:pStyle w:val="Heading1"/>
        <w:pageBreakBefore w:val="0"/>
      </w:pPr>
      <w:r>
        <w:t>Registres et contrôles</w:t>
      </w:r>
    </w:p>
    <w:tbl>
      <w:tblPr>
        <w:tblStyle w:val="TableGrid"/>
        <w:tblW w:type="dxa" w:w="9500"/>
        <w:jc w:val="left"/>
        <w:tblLayout w:type="fixed"/>
        <w:tblLook w:firstColumn="1" w:firstRow="1" w:lastColumn="0" w:lastRow="0" w:noHBand="0" w:noVBand="1" w:val="04A0"/>
        <w:tblInd w:w="120" w:type="dxa"/>
      </w:tblPr>
      <w:tblGrid>
        <w:gridCol w:w="2100"/>
        <w:gridCol w:w="5400"/>
        <w:gridCol w:w="20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Registre</w:t>
            </w:r>
          </w:p>
        </w:tc>
        <w:tc>
          <w:tcPr>
            <w:tcW w:type="dxa" w:w="5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 minimal</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Traitements</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Finalité, données, personnes, base, destinataires, durée, sécurité</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Prestataires</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 rôle, contrat, lieu, sous-traitants ultérieurs, sortie</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Traceurs</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domaine, finalité, statut, durée, fournisseur, preuve de scan</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Consentements</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finalité, choix, date, retrait, preuve</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 identité, portée, décision, délai et réponse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Incidents</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Chronologie, données, impact, notification et remédiation</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Publications</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Page, version, approbateur, date, hash et historique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Allégations</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Affirmation, source, périmètre, expiration et responsable</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bl>
    <w:p>
      <w:pPr>
        <w:spacing w:after="40"/>
      </w:pPr>
    </w:p>
    <w:p>
      <w:pPr>
        <w:pStyle w:val="Heading2"/>
      </w:pPr>
      <w:r>
        <w:t>Déclencheurs de nouvelle revue</w:t>
      </w:r>
    </w:p>
    <w:p>
      <w:pPr>
        <w:numPr>
          <w:ilvl w:val="0"/>
          <w:numId w:val="19"/>
        </w:numPr>
        <w:spacing w:after="80" w:line="283" w:lineRule="auto"/>
      </w:pPr>
      <w:r>
        <w:rPr>
          <w:rFonts w:ascii="Arial" w:hAnsi="Arial" w:eastAsia="Arial"/>
          <w:color w:val="162019"/>
          <w:sz w:val="20"/>
        </w:rPr>
        <w:t>formulaire, newsletter, espace personnel ou authentification modifiés ;</w:t>
      </w:r>
    </w:p>
    <w:p>
      <w:pPr>
        <w:numPr>
          <w:ilvl w:val="0"/>
          <w:numId w:val="19"/>
        </w:numPr>
        <w:spacing w:after="80" w:line="283" w:lineRule="auto"/>
      </w:pPr>
      <w:r>
        <w:rPr>
          <w:rFonts w:ascii="Arial" w:hAnsi="Arial" w:eastAsia="Arial"/>
          <w:color w:val="162019"/>
          <w:sz w:val="20"/>
        </w:rPr>
        <w:t>outil d’analytics, vidéo, police, widget, CAPTCHA ou contenu embarqué ajouté ;</w:t>
      </w:r>
    </w:p>
    <w:p>
      <w:pPr>
        <w:numPr>
          <w:ilvl w:val="0"/>
          <w:numId w:val="19"/>
        </w:numPr>
        <w:spacing w:after="80" w:line="283" w:lineRule="auto"/>
      </w:pPr>
      <w:r>
        <w:rPr>
          <w:rFonts w:ascii="Arial" w:hAnsi="Arial" w:eastAsia="Arial"/>
          <w:color w:val="162019"/>
          <w:sz w:val="20"/>
        </w:rPr>
        <w:t>passage du site privé au public ou nouveau territoire ciblé ;</w:t>
      </w:r>
    </w:p>
    <w:p>
      <w:pPr>
        <w:numPr>
          <w:ilvl w:val="0"/>
          <w:numId w:val="19"/>
        </w:numPr>
        <w:spacing w:after="80" w:line="283" w:lineRule="auto"/>
      </w:pPr>
      <w:r>
        <w:rPr>
          <w:rFonts w:ascii="Arial" w:hAnsi="Arial" w:eastAsia="Arial"/>
          <w:color w:val="162019"/>
          <w:sz w:val="20"/>
        </w:rPr>
        <w:t>pilote externe, vente, abonnement, wallet connecté ou fonds réels ;</w:t>
      </w:r>
    </w:p>
    <w:p>
      <w:pPr>
        <w:numPr>
          <w:ilvl w:val="0"/>
          <w:numId w:val="19"/>
        </w:numPr>
        <w:spacing w:after="80" w:line="283" w:lineRule="auto"/>
      </w:pPr>
      <w:r>
        <w:rPr>
          <w:rFonts w:ascii="Arial" w:hAnsi="Arial" w:eastAsia="Arial"/>
          <w:color w:val="162019"/>
          <w:sz w:val="20"/>
        </w:rPr>
        <w:t>distribution, transférabilité ou fonction économique de VERIDIA ;</w:t>
      </w:r>
    </w:p>
    <w:p>
      <w:pPr>
        <w:numPr>
          <w:ilvl w:val="0"/>
          <w:numId w:val="19"/>
        </w:numPr>
        <w:spacing w:after="80" w:line="283" w:lineRule="auto"/>
      </w:pPr>
      <w:r>
        <w:rPr>
          <w:rFonts w:ascii="Arial" w:hAnsi="Arial" w:eastAsia="Arial"/>
          <w:color w:val="162019"/>
          <w:sz w:val="20"/>
        </w:rPr>
        <w:t>incident, plainte, changement d’hébergeur ou nouvelle obligation.</w:t>
      </w:r>
    </w:p>
    <w:p>
      <w:r>
        <w:br w:type="page"/>
      </w:r>
    </w:p>
    <w:p>
      <w:pPr>
        <w:keepNext/>
        <w:spacing w:before="440" w:after="100"/>
      </w:pPr>
      <w:r>
        <w:rPr>
          <w:rFonts w:ascii="Arial" w:hAnsi="Arial" w:eastAsia="Arial"/>
          <w:b/>
          <w:color w:val="C6A15B"/>
          <w:sz w:val="16"/>
        </w:rPr>
        <w:t>CHAPITRE 11</w:t>
      </w:r>
    </w:p>
    <w:p>
      <w:pPr>
        <w:pStyle w:val="Heading1"/>
        <w:pageBreakBefore w:val="0"/>
      </w:pPr>
      <w:r>
        <w:t>Checklist de publication</w:t>
      </w:r>
    </w:p>
    <w:tbl>
      <w:tblPr>
        <w:tblStyle w:val="TableGrid"/>
        <w:tblW w:type="dxa" w:w="9500"/>
        <w:jc w:val="left"/>
        <w:tblLayout w:type="fixed"/>
        <w:tblLook w:firstColumn="1" w:firstRow="1" w:lastColumn="0" w:lastRow="0" w:noHBand="0" w:noVBand="1" w:val="04A0"/>
        <w:tblInd w:w="120" w:type="dxa"/>
      </w:tblPr>
      <w:tblGrid>
        <w:gridCol w:w="2300"/>
        <w:gridCol w:w="5100"/>
        <w:gridCol w:w="21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5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Critère de passage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Éditeur</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Identité, forme, siège, capital, RCS/SIREN et TVA vérifiés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Courriel et téléphone professionnels opérationnels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Hébergeur</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Dénomination, adresse et téléphone confirmés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Pages juridiques accessibles et liens fonctionnels, y compris écran d’entrée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réel, bases, durées, destinataires et transferts documentés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Cookies</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Scan réalisé ; blocage préalable et refus testés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 SI NON ESSENTIEL</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Formulaires</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Mention courte, minimisation, sécurité et destinataire testés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Crypto</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Avertissement visible ; aucune offre, promesse ou statut trompeur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Propriété intellectuelle</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et licences vérifiés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Versions</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Date, approbation, archivage et procédure de mise à jour</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DÉCISION V1.0</w:t>
        <w:br/>
      </w:r>
      <w:r>
        <w:rPr>
          <w:rFonts w:ascii="Arial" w:hAnsi="Arial" w:eastAsia="Arial"/>
          <w:b w:val="0"/>
          <w:color w:val="162019"/>
          <w:sz w:val="20"/>
        </w:rPr>
        <w:t>NO-GO pour une publication juridique présentée comme finalisée tant que les champs bloquants restent ouverts. Le site de recherche peut être corrigé et préparé, mais aucun texte incomplet ne doit être présenté comme conforme.</w:t>
      </w:r>
    </w:p>
    <w:p>
      <w:pPr>
        <w:pStyle w:val="Heading2"/>
      </w:pPr>
      <w:r>
        <w:t>Approbation</w:t>
      </w:r>
    </w:p>
    <w:tbl>
      <w:tblPr>
        <w:tblStyle w:val="TableGrid"/>
        <w:tblW w:type="dxa" w:w="9500"/>
        <w:jc w:val="left"/>
        <w:tblLayout w:type="fixed"/>
        <w:tblLook w:firstColumn="1" w:firstRow="1" w:lastColumn="0" w:lastRow="0" w:noHBand="0" w:noVBand="1" w:val="04A0"/>
        <w:tblInd w:w="120" w:type="dxa"/>
      </w:tblPr>
      <w:tblGrid>
        <w:gridCol w:w="2500"/>
        <w:gridCol w:w="2300"/>
        <w:gridCol w:w="2900"/>
        <w:gridCol w:w="18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 date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Signature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Éditeur / direction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données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technique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Conseil juridique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MANDATER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Avis non rendu</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r>
    </w:tbl>
    <w:p>
      <w:pPr>
        <w:spacing w:after="40"/>
      </w:pPr>
    </w:p>
    <w:p>
      <w:r>
        <w:br w:type="page"/>
      </w:r>
    </w:p>
    <w:p>
      <w:pPr>
        <w:keepNext/>
        <w:spacing w:before="440" w:after="100"/>
      </w:pPr>
      <w:r>
        <w:rPr>
          <w:rFonts w:ascii="Arial" w:hAnsi="Arial" w:eastAsia="Arial"/>
          <w:b/>
          <w:color w:val="C6A15B"/>
          <w:sz w:val="16"/>
        </w:rPr>
        <w:t>CHAPITRE 12</w:t>
      </w:r>
    </w:p>
    <w:p>
      <w:pPr>
        <w:pStyle w:val="Heading1"/>
        <w:pageBreakBefore w:val="0"/>
      </w:pPr>
      <w:r>
        <w:t>Sources officielles</w:t>
      </w:r>
    </w:p>
    <w:p>
      <w:pPr>
        <w:keepNext/>
        <w:spacing w:after="320"/>
      </w:pPr>
      <w:r>
        <w:rPr>
          <w:rFonts w:ascii="Arial" w:hAnsi="Arial" w:eastAsia="Arial"/>
          <w:i/>
          <w:color w:val="66736B"/>
          <w:sz w:val="25"/>
        </w:rPr>
        <w:t>Références consultées le 8 septembre 2026.</w:t>
      </w:r>
    </w:p>
    <w:p>
      <w:pPr>
        <w:spacing w:after="100"/>
      </w:pPr>
      <w:r>
        <w:rPr>
          <w:rFonts w:ascii="Arial" w:hAnsi="Arial" w:eastAsia="Arial"/>
          <w:b/>
          <w:color w:val="C6A15B"/>
          <w:sz w:val="18"/>
        </w:rPr>
        <w:t xml:space="preserve">• </w:t>
      </w:r>
      <w:hyperlink r:id="rId19">
        <w:r>
          <w:rPr>
            <w:color w:val="155A3E"/>
            <w:u w:val="single"/>
          </w:rPr>
          <w:t>Service Public Entreprendre — Mentions obligatoires sur le site d’une société</w:t>
        </w:r>
      </w:hyperlink>
      <w:r>
        <w:rPr>
          <w:rFonts w:ascii="Arial" w:hAnsi="Arial" w:eastAsia="Arial"/>
          <w:color w:val="162019"/>
          <w:sz w:val="17"/>
        </w:rPr>
        <w:t xml:space="preserve"> — identification, hébergement, données et cookies</w:t>
      </w:r>
    </w:p>
    <w:p>
      <w:pPr>
        <w:spacing w:after="100"/>
      </w:pPr>
      <w:r>
        <w:rPr>
          <w:rFonts w:ascii="Arial" w:hAnsi="Arial" w:eastAsia="Arial"/>
          <w:b/>
          <w:color w:val="C6A15B"/>
          <w:sz w:val="18"/>
        </w:rPr>
        <w:t xml:space="preserve">• </w:t>
      </w:r>
      <w:hyperlink r:id="rId20">
        <w:r>
          <w:rPr>
            <w:color w:val="155A3E"/>
            <w:u w:val="single"/>
          </w:rPr>
          <w:t>Service Public Entreprendre — Mentions obligatoires pour un entrepreneur individuel</w:t>
        </w:r>
      </w:hyperlink>
      <w:r>
        <w:rPr>
          <w:rFonts w:ascii="Arial" w:hAnsi="Arial" w:eastAsia="Arial"/>
          <w:color w:val="162019"/>
          <w:sz w:val="17"/>
        </w:rPr>
        <w:t xml:space="preserve"> — variante à employer si Pacturion n’est pas porté par une société</w:t>
      </w:r>
    </w:p>
    <w:p>
      <w:pPr>
        <w:spacing w:after="100"/>
      </w:pPr>
      <w:r>
        <w:rPr>
          <w:rFonts w:ascii="Arial" w:hAnsi="Arial" w:eastAsia="Arial"/>
          <w:b/>
          <w:color w:val="C6A15B"/>
          <w:sz w:val="18"/>
        </w:rPr>
        <w:t xml:space="preserve">• </w:t>
      </w:r>
      <w:hyperlink r:id="rId21">
        <w:r>
          <w:rPr>
            <w:color w:val="155A3E"/>
            <w:u w:val="single"/>
          </w:rPr>
          <w:t>CNIL — Cookies et traceurs : que dit la loi ?</w:t>
        </w:r>
      </w:hyperlink>
      <w:r>
        <w:rPr>
          <w:rFonts w:ascii="Arial" w:hAnsi="Arial" w:eastAsia="Arial"/>
          <w:color w:val="162019"/>
          <w:sz w:val="17"/>
        </w:rPr>
        <w:t xml:space="preserve"> — consentement préalable, exceptions et retrait</w:t>
      </w:r>
    </w:p>
    <w:p>
      <w:pPr>
        <w:spacing w:after="100"/>
      </w:pPr>
      <w:r>
        <w:rPr>
          <w:rFonts w:ascii="Arial" w:hAnsi="Arial" w:eastAsia="Arial"/>
          <w:b/>
          <w:color w:val="C6A15B"/>
          <w:sz w:val="18"/>
        </w:rPr>
        <w:t xml:space="preserve">• </w:t>
      </w:r>
      <w:hyperlink r:id="rId22">
        <w:r>
          <w:rPr>
            <w:color w:val="155A3E"/>
            <w:u w:val="single"/>
          </w:rPr>
          <w:t>CNIL — Exemples de mentions d’information RGPD</w:t>
        </w:r>
      </w:hyperlink>
      <w:r>
        <w:rPr>
          <w:rFonts w:ascii="Arial" w:hAnsi="Arial" w:eastAsia="Arial"/>
          <w:color w:val="162019"/>
          <w:sz w:val="17"/>
        </w:rPr>
        <w:t xml:space="preserve"> — transparence et information au point de collecte</w:t>
      </w:r>
    </w:p>
    <w:p>
      <w:pPr>
        <w:spacing w:after="100"/>
      </w:pPr>
      <w:r>
        <w:rPr>
          <w:rFonts w:ascii="Arial" w:hAnsi="Arial" w:eastAsia="Arial"/>
          <w:b/>
          <w:color w:val="C6A15B"/>
          <w:sz w:val="18"/>
        </w:rPr>
        <w:t xml:space="preserve">• </w:t>
      </w:r>
      <w:hyperlink r:id="rId23">
        <w:r>
          <w:rPr>
            <w:color w:val="155A3E"/>
            <w:u w:val="single"/>
          </w:rPr>
          <w:t>Règlement (UE) 2016/679 — RGPD</w:t>
        </w:r>
      </w:hyperlink>
      <w:r>
        <w:rPr>
          <w:rFonts w:ascii="Arial" w:hAnsi="Arial" w:eastAsia="Arial"/>
          <w:color w:val="162019"/>
          <w:sz w:val="17"/>
        </w:rPr>
        <w:t xml:space="preserve"> — texte primaire, notamment articles 12 à 14</w:t>
      </w:r>
    </w:p>
    <w:p>
      <w:pPr>
        <w:spacing w:after="100"/>
      </w:pPr>
      <w:r>
        <w:rPr>
          <w:rFonts w:ascii="Arial" w:hAnsi="Arial" w:eastAsia="Arial"/>
          <w:b/>
          <w:color w:val="C6A15B"/>
          <w:sz w:val="18"/>
        </w:rPr>
        <w:t xml:space="preserve">• </w:t>
      </w:r>
      <w:hyperlink r:id="rId24">
        <w:r>
          <w:rPr>
            <w:color w:val="155A3E"/>
            <w:u w:val="single"/>
          </w:rPr>
          <w:t>Loi n° 2004-575 du 21 juin 2004 — LCEN</w:t>
        </w:r>
      </w:hyperlink>
      <w:r>
        <w:rPr>
          <w:rFonts w:ascii="Arial" w:hAnsi="Arial" w:eastAsia="Arial"/>
          <w:color w:val="162019"/>
          <w:sz w:val="17"/>
        </w:rPr>
        <w:t xml:space="preserve"> — communication au public en ligne</w:t>
      </w:r>
    </w:p>
    <w:p>
      <w:pPr>
        <w:spacing w:after="100"/>
      </w:pPr>
      <w:r>
        <w:rPr>
          <w:rFonts w:ascii="Arial" w:hAnsi="Arial" w:eastAsia="Arial"/>
          <w:b/>
          <w:color w:val="C6A15B"/>
          <w:sz w:val="18"/>
        </w:rPr>
        <w:t xml:space="preserve">• </w:t>
      </w:r>
      <w:hyperlink r:id="rId25">
        <w:r>
          <w:rPr>
            <w:color w:val="155A3E"/>
            <w:u w:val="single"/>
          </w:rPr>
          <w:t>Loi Informatique et Libertés</w:t>
        </w:r>
      </w:hyperlink>
      <w:r>
        <w:rPr>
          <w:rFonts w:ascii="Arial" w:hAnsi="Arial" w:eastAsia="Arial"/>
          <w:color w:val="162019"/>
          <w:sz w:val="17"/>
        </w:rPr>
        <w:t xml:space="preserve"> — dont article 82 relatif aux traceurs</w:t>
      </w:r>
    </w:p>
    <w:p>
      <w:pPr>
        <w:pStyle w:val="Heading2"/>
      </w:pPr>
      <w:r>
        <w:t>Limite</w:t>
      </w:r>
    </w:p>
    <w:p>
      <w:pPr>
        <w:spacing w:after="140" w:line="307" w:lineRule="auto"/>
      </w:pPr>
      <w:r>
        <w:rPr>
          <w:rFonts w:ascii="Arial" w:hAnsi="Arial" w:eastAsia="Arial"/>
          <w:i w:val="0"/>
          <w:color w:val="162019"/>
          <w:sz w:val="20"/>
        </w:rPr>
        <w:t>Ces références soutiennent le cadre général. Elles ne déterminent pas l’identité de l’éditeur, le rôle des prestataires, l’inventaire des traitements ou la qualification d’une future offre. Ces faits doivent être établis avant validation.</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SITE V1.0</w:t>
    </w:r>
    <w:r>
      <w:rPr>
        <w:rFonts w:ascii="Arial" w:hAnsi="Arial" w:eastAsia="Arial"/>
        <w:b/>
        <w:color w:val="C6A15B"/>
        <w:sz w:val="14"/>
      </w:rPr>
      <w:tab/>
      <w:t xml:space="preserve">DOCUMENT À COMPLÉTER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PACK JURIDIQUE DU 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 Id="rId19" Type="http://schemas.openxmlformats.org/officeDocument/2006/relationships/hyperlink" Target="https://entreprendre.service-public.gouv.fr/vosdroits/F37351" TargetMode="External"/><Relationship Id="rId20" Type="http://schemas.openxmlformats.org/officeDocument/2006/relationships/hyperlink" Target="https://entreprendre.service-public.gouv.fr/vosdroits/F31228" TargetMode="External"/><Relationship Id="rId21" Type="http://schemas.openxmlformats.org/officeDocument/2006/relationships/hyperlink" Target="https://www.cnil.fr/fr/cookies-et-autres-traceurs/que-dit-la-loi" TargetMode="External"/><Relationship Id="rId22" Type="http://schemas.openxmlformats.org/officeDocument/2006/relationships/hyperlink" Target="https://www.cnil.fr/fr/passer-laction/rgpd-exemples-de-mentions-dinformation" TargetMode="External"/><Relationship Id="rId23" Type="http://schemas.openxmlformats.org/officeDocument/2006/relationships/hyperlink" Target="https://eur-lex.europa.eu/eli/reg/2016/679/oj/fra" TargetMode="External"/><Relationship Id="rId24" Type="http://schemas.openxmlformats.org/officeDocument/2006/relationships/hyperlink" Target="https://www.legifrance.gouv.fr/loda/id/JORFTEXT000000801164" TargetMode="External"/><Relationship Id="rId25" Type="http://schemas.openxmlformats.org/officeDocument/2006/relationships/hyperlink" Target="https://www.legifrance.gouv.fr/loda/id/JORFTEXT000000886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Pack juridique du site V1.0</dc:title>
  <dc:subject>Mentions légales, confidentialité, cookies, CGU et plan d’intégration</dc:subject>
  <dc:creator>Pacturion</dc:creator>
  <cp:keywords>Pacturion, site, mentions légales, RGPD, cookies, CGU, VERIDIA, ALPHA</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