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0"/>
        <w:jc w:val="center"/>
      </w:pPr>
      <w:r>
        <w:drawing>
          <wp:inline xmlns:a="http://schemas.openxmlformats.org/drawingml/2006/main" xmlns:pic="http://schemas.openxmlformats.org/drawingml/2006/picture">
            <wp:extent cx="6120000" cy="1036190"/>
            <wp:docPr id="1" name="Picture 1" descr="Bannière Pacturion avec logo doré sur fond sombre et ligne d’horizon lumineuse" title="Pacturion"/>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6120000" cy="1036190"/>
                    </a:xfrm>
                    <a:prstGeom prst="rect"/>
                  </pic:spPr>
                </pic:pic>
              </a:graphicData>
            </a:graphic>
          </wp:inline>
        </w:drawing>
      </w:r>
    </w:p>
    <w:p>
      <w:pPr>
        <w:spacing w:after="80"/>
      </w:pPr>
      <w:r>
        <w:rPr>
          <w:rFonts w:ascii="Arial" w:hAnsi="Arial" w:eastAsia="Arial"/>
          <w:b/>
          <w:color w:val="06110B"/>
          <w:sz w:val="45"/>
        </w:rPr>
        <w:t>PACK DE RECRUTEMENT DU PARTENAIRE PILOTE</w:t>
      </w:r>
    </w:p>
    <w:p>
      <w:pPr>
        <w:spacing w:after="160"/>
      </w:pPr>
      <w:r>
        <w:rPr>
          <w:rFonts w:ascii="Arial" w:hAnsi="Arial" w:eastAsia="Arial"/>
          <w:color w:val="155A3E"/>
          <w:sz w:val="33"/>
        </w:rPr>
        <w:t>Ciblage, approche et conversion — V1.0</w:t>
      </w:r>
    </w:p>
    <w:p>
      <w:pPr>
        <w:spacing w:after="400"/>
      </w:pPr>
      <w:r>
        <w:rPr>
          <w:rFonts w:ascii="Arial" w:hAnsi="Arial" w:eastAsia="Arial"/>
          <w:color w:val="162019"/>
          <w:sz w:val="22"/>
        </w:rPr>
        <w:t>Obtenir un premier pilote externe crédible sans transformer la prospection en campagne massive ni survendre un produit encore non validé.</w:t>
      </w:r>
    </w:p>
    <w:tbl>
      <w:tblPr>
        <w:tblStyle w:val="TableGrid"/>
        <w:tblW w:type="dxa" w:w="9500"/>
        <w:jc w:val="left"/>
        <w:tblLayout w:type="fixed"/>
        <w:tblLook w:firstColumn="1" w:firstRow="1" w:lastColumn="0" w:lastRow="0" w:noHBand="0" w:noVBand="1" w:val="04A0"/>
        <w:tblInd w:w="120" w:type="dxa"/>
      </w:tblPr>
      <w:tblGrid>
        <w:gridCol w:w="1300"/>
        <w:gridCol w:w="2100"/>
        <w:gridCol w:w="3900"/>
        <w:gridCol w:w="2200"/>
      </w:tblGrid>
      <w:tr>
        <w:trPr>
          <w:tblHeader w:val="true"/>
          <w:cantSplit/>
        </w:trPr>
        <w:tc>
          <w:tcPr>
            <w:tcW w:type="dxa" w:w="1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VERSION</w:t>
            </w:r>
          </w:p>
        </w:tc>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DATE</w:t>
            </w:r>
          </w:p>
        </w:tc>
        <w:tc>
          <w:tcPr>
            <w:tcW w:type="dxa" w:w="3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STATUT</w:t>
            </w:r>
          </w:p>
        </w:tc>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PROPRIÉTAIRE</w:t>
            </w:r>
          </w:p>
        </w:tc>
      </w:tr>
      <w:tr>
        <w:trPr>
          <w:cantSplit/>
        </w:trPr>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1.0</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8 septembre 2026</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PRÊT À PERSONNALISER</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Pacturion</w:t>
            </w:r>
          </w:p>
        </w:tc>
      </w:tr>
    </w:tbl>
    <w:p>
      <w:pPr>
        <w:spacing w:after="40"/>
      </w:pPr>
    </w:p>
    <w:p>
      <w:pPr>
        <w:spacing w:before="100" w:after="180" w:line="283" w:lineRule="auto"/>
        <w:ind w:left="227" w:right="170"/>
        <w:shd w:fill="EDF3EF"/>
        <w:pBdr>
          <w:left w:val="single" w:sz="18" w:space="8" w:color="155A3E"/>
        </w:pBdr>
      </w:pPr>
      <w:r>
        <w:rPr>
          <w:rFonts w:ascii="Arial" w:hAnsi="Arial" w:eastAsia="Arial"/>
          <w:b/>
          <w:color w:val="155A3E"/>
          <w:sz w:val="16"/>
        </w:rPr>
        <w:t>OBJECTIF UNIQUE</w:t>
        <w:br/>
      </w:r>
      <w:r>
        <w:rPr>
          <w:rFonts w:ascii="Arial" w:hAnsi="Arial" w:eastAsia="Arial"/>
          <w:b w:val="0"/>
          <w:color w:val="162019"/>
          <w:sz w:val="20"/>
        </w:rPr>
        <w:t>Obtenir cinq conversations qualifiées, sélectionner un partenaire pertinent et signer un pilote externe borné sur Base Sepolia.</w:t>
      </w:r>
    </w:p>
    <w:p>
      <w:pPr>
        <w:spacing w:before="100" w:after="180" w:line="283" w:lineRule="auto"/>
        <w:ind w:left="227" w:right="170"/>
        <w:shd w:fill="F6F0E3"/>
        <w:pBdr>
          <w:left w:val="single" w:sz="18" w:space="8" w:color="C6A15B"/>
        </w:pBdr>
      </w:pPr>
      <w:r>
        <w:rPr>
          <w:rFonts w:ascii="Arial" w:hAnsi="Arial" w:eastAsia="Arial"/>
          <w:b/>
          <w:color w:val="C6A15B"/>
          <w:sz w:val="16"/>
        </w:rPr>
        <w:t>DISCIPLINE COMMERCIALE</w:t>
        <w:br/>
      </w:r>
      <w:r>
        <w:rPr>
          <w:rFonts w:ascii="Arial" w:hAnsi="Arial" w:eastAsia="Arial"/>
          <w:b w:val="0"/>
          <w:color w:val="162019"/>
          <w:sz w:val="20"/>
        </w:rPr>
        <w:t>Ne pas envoyer le site tant que ses onglets, son accès public et ses pages juridiques ne sont pas fiables. Utiliser le brief partenaire contenu dans ce pack.</w:t>
      </w:r>
    </w:p>
    <w:p>
      <w:r>
        <w:br w:type="page"/>
      </w:r>
    </w:p>
    <w:p>
      <w:pPr>
        <w:keepNext/>
        <w:spacing w:before="440" w:after="100"/>
      </w:pPr>
      <w:r>
        <w:rPr>
          <w:rFonts w:ascii="Arial" w:hAnsi="Arial" w:eastAsia="Arial"/>
          <w:b/>
          <w:color w:val="C6A15B"/>
          <w:sz w:val="16"/>
        </w:rPr>
        <w:t>CHAPITRE 00</w:t>
      </w:r>
    </w:p>
    <w:p>
      <w:pPr>
        <w:pStyle w:val="Heading1"/>
        <w:pageBreakBefore w:val="0"/>
      </w:pPr>
      <w:r>
        <w:t>Mode d’emploi et principe de campagne</w:t>
      </w:r>
    </w:p>
    <w:p>
      <w:pPr>
        <w:pStyle w:val="Heading2"/>
      </w:pPr>
      <w:r>
        <w:t>Le bon objectif</w:t>
      </w:r>
    </w:p>
    <w:p>
      <w:pPr>
        <w:spacing w:after="140" w:line="307" w:lineRule="auto"/>
      </w:pPr>
      <w:r>
        <w:rPr>
          <w:rFonts w:ascii="Arial" w:hAnsi="Arial" w:eastAsia="Arial"/>
          <w:i w:val="0"/>
          <w:color w:val="162019"/>
          <w:sz w:val="20"/>
        </w:rPr>
        <w:t>Pacturion n’a pas besoin de vingt entretiens superficiels. Le besoin immédiat est plus précis : cinq échanges avec des personnes confrontées à un workflow d’engagement, de preuve et de décision, puis un seul pilote suffisamment sérieux pour produire une décision GO, PIVOT ou NO-GO. La qualité du partenaire compte davantage que le volume de messages.</w:t>
      </w:r>
    </w:p>
    <w:p>
      <w:pPr>
        <w:pStyle w:val="Heading2"/>
      </w:pPr>
      <w:r>
        <w:t>Ce que le recrutement doit démontrer</w:t>
      </w:r>
    </w:p>
    <w:tbl>
      <w:tblPr>
        <w:tblStyle w:val="TableGrid"/>
        <w:tblW w:type="dxa" w:w="9500"/>
        <w:jc w:val="left"/>
        <w:tblLayout w:type="fixed"/>
        <w:tblLook w:firstColumn="1" w:firstRow="1" w:lastColumn="0" w:lastRow="0" w:noHBand="0" w:noVBand="1" w:val="04A0"/>
        <w:tblInd w:w="120" w:type="dxa"/>
      </w:tblPr>
      <w:tblGrid>
        <w:gridCol w:w="3000"/>
        <w:gridCol w:w="3500"/>
        <w:gridCol w:w="3000"/>
      </w:tblGrid>
      <w:tr>
        <w:trPr>
          <w:tblHeader w:val="true"/>
          <w:cantSplit/>
        </w:trPr>
        <w:tc>
          <w:tcPr>
            <w:tcW w:type="dxa" w:w="3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Question</w:t>
            </w:r>
          </w:p>
        </w:tc>
        <w:tc>
          <w:tcPr>
            <w:tcW w:type="dxa" w:w="3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Signal recherché</w:t>
            </w:r>
          </w:p>
        </w:tc>
        <w:tc>
          <w:tcPr>
            <w:tcW w:type="dxa" w:w="3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Mauvais signal</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Le problème existe-t-il ?</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Cas récent, fréquence et impact décrits</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Intérêt abstrait pour la blockchain</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Le décideur est-il accessible ?</w:t>
            </w:r>
          </w:p>
        </w:tc>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Responsable métier identifié et disponible</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Utilisateur curieux sans pouvoir d’arbitrage</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Le workflow est-il testable ?</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Cas borné, règles et preuves disponibles</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Processus flou ou entièrement confidentiel</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Le partenaire s’engage-t-il ?</w:t>
            </w:r>
          </w:p>
        </w:tc>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Temps réservé, interlocuteur et retour écrit</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Demande de démo sans implication</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Le cadre est-il sûr ?</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Testnet, données minimisées, aucun fonds réel</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Exigence de production ou de rendement</w:t>
            </w:r>
          </w:p>
        </w:tc>
      </w:tr>
    </w:tbl>
    <w:p>
      <w:pPr>
        <w:spacing w:after="40"/>
      </w:pPr>
    </w:p>
    <w:p>
      <w:pPr>
        <w:pStyle w:val="Heading2"/>
      </w:pPr>
      <w:r>
        <w:t>Charge maximale recommandée</w:t>
      </w:r>
    </w:p>
    <w:tbl>
      <w:tblPr>
        <w:tblStyle w:val="TableGrid"/>
        <w:tblW w:type="dxa" w:w="9500"/>
        <w:jc w:val="left"/>
        <w:tblLayout w:type="fixed"/>
        <w:tblLook w:firstColumn="1" w:firstRow="1" w:lastColumn="0" w:lastRow="0" w:noHBand="0" w:noVBand="1" w:val="04A0"/>
        <w:tblInd w:w="120" w:type="dxa"/>
      </w:tblPr>
      <w:tblGrid>
        <w:gridCol w:w="3000"/>
        <w:gridCol w:w="3000"/>
        <w:gridCol w:w="3500"/>
      </w:tblGrid>
      <w:tr>
        <w:trPr>
          <w:tblHeader w:val="true"/>
          <w:cantSplit/>
        </w:trPr>
        <w:tc>
          <w:tcPr>
            <w:tcW w:type="dxa" w:w="3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Étape</w:t>
            </w:r>
          </w:p>
        </w:tc>
        <w:tc>
          <w:tcPr>
            <w:tcW w:type="dxa" w:w="3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Volume</w:t>
            </w:r>
          </w:p>
        </w:tc>
        <w:tc>
          <w:tcPr>
            <w:tcW w:type="dxa" w:w="3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Temps Pacturion</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Liste ciblée</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20 organisations maximum</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2 à 3 h de recherche</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Approches personnalisées</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10 messages initiaux</w:t>
            </w:r>
          </w:p>
        </w:tc>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60 à 90 min</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Relances</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2 maximum par contact</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30 min par vague</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Découverte</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5 appels de 25 minutes</w:t>
            </w:r>
          </w:p>
        </w:tc>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Environ 3 h avec notes</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Cadrage final</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1 partenaire</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2 réunions maximum</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RÈGLE D’ARRÊT</w:t>
        <w:br/>
      </w:r>
      <w:r>
        <w:rPr>
          <w:rFonts w:ascii="Arial" w:hAnsi="Arial" w:eastAsia="Arial"/>
          <w:b w:val="0"/>
          <w:color w:val="162019"/>
          <w:sz w:val="20"/>
        </w:rPr>
        <w:t>Si dix approches ciblées ne produisent aucune conversation, ne pas envoyer cinquante messages supplémentaires. Revoir le segment, le problème et la formulation.</w:t>
      </w:r>
    </w:p>
    <w:p>
      <w:r>
        <w:br w:type="page"/>
      </w:r>
    </w:p>
    <w:p>
      <w:pPr>
        <w:pStyle w:val="Heading2"/>
      </w:pPr>
      <w:r>
        <w:t>Sommaire</w:t>
      </w:r>
    </w:p>
    <w:tbl>
      <w:tblPr>
        <w:tblStyle w:val="TableGrid"/>
        <w:tblW w:type="dxa" w:w="9500"/>
        <w:jc w:val="left"/>
        <w:tblLayout w:type="fixed"/>
        <w:tblLook w:firstColumn="1" w:firstRow="1" w:lastColumn="0" w:lastRow="0" w:noHBand="0" w:noVBand="1" w:val="04A0"/>
        <w:tblInd w:w="120" w:type="dxa"/>
      </w:tblPr>
      <w:tblGrid>
        <w:gridCol w:w="1200"/>
        <w:gridCol w:w="8300"/>
      </w:tblGrid>
      <w:tr>
        <w:trPr>
          <w:tblHeader w:val="true"/>
          <w:cantSplit/>
        </w:trPr>
        <w:tc>
          <w:tcPr>
            <w:tcW w:type="dxa" w:w="1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N°</w:t>
            </w:r>
          </w:p>
        </w:tc>
        <w:tc>
          <w:tcPr>
            <w:tcW w:type="dxa" w:w="8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Section</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01</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Positionnement de l’offre pilote</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02</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Profil du partenaire idéal</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03</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Segments et ordre d’attaque</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04</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Brief partenaire — version externe</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05</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Construction de la liste cible</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06</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Score de qualification</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07</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Messages d’approche</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08</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Entretien de découverte en 25 minutes</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09</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Présentation du pilote</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10</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Réponses aux objections</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11</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Parcours jusqu’à l’accord</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12</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Communication et garde-fous</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13</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Tableau de suivi</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14</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Plan d’exécution sur 30 jours</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Fiche de qualification</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B</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Messages courts prêts à copier</w:t>
            </w:r>
          </w:p>
        </w:tc>
      </w:tr>
    </w:tbl>
    <w:p>
      <w:pPr>
        <w:spacing w:after="40"/>
      </w:pPr>
    </w:p>
    <w:p>
      <w:r>
        <w:br w:type="page"/>
      </w:r>
    </w:p>
    <w:p>
      <w:pPr>
        <w:keepNext/>
        <w:spacing w:before="440" w:after="100"/>
      </w:pPr>
      <w:r>
        <w:rPr>
          <w:rFonts w:ascii="Arial" w:hAnsi="Arial" w:eastAsia="Arial"/>
          <w:b/>
          <w:color w:val="C6A15B"/>
          <w:sz w:val="16"/>
        </w:rPr>
        <w:t>CHAPITRE 01</w:t>
      </w:r>
    </w:p>
    <w:p>
      <w:pPr>
        <w:pStyle w:val="Heading1"/>
        <w:pageBreakBefore w:val="0"/>
      </w:pPr>
      <w:r>
        <w:t>Positionnement de l’offre pilote</w:t>
      </w:r>
    </w:p>
    <w:p>
      <w:pPr>
        <w:pStyle w:val="Heading2"/>
      </w:pPr>
      <w:r>
        <w:t>En une phrase</w:t>
      </w:r>
    </w:p>
    <w:p>
      <w:pPr>
        <w:spacing w:before="100" w:after="180" w:line="283" w:lineRule="auto"/>
        <w:ind w:left="227" w:right="170"/>
        <w:shd w:fill="EDF3EF"/>
        <w:pBdr>
          <w:left w:val="single" w:sz="18" w:space="8" w:color="155A3E"/>
        </w:pBdr>
      </w:pPr>
      <w:r>
        <w:rPr>
          <w:rFonts w:ascii="Arial" w:hAnsi="Arial" w:eastAsia="Arial"/>
          <w:b/>
          <w:color w:val="155A3E"/>
          <w:sz w:val="16"/>
        </w:rPr>
        <w:t>PROPOSITION</w:t>
        <w:br/>
      </w:r>
      <w:r>
        <w:rPr>
          <w:rFonts w:ascii="Arial" w:hAnsi="Arial" w:eastAsia="Arial"/>
          <w:b w:val="0"/>
          <w:color w:val="162019"/>
          <w:sz w:val="20"/>
        </w:rPr>
        <w:t>Pacturion aide une organisation à transformer un engagement métier en règles, preuves et décision traçables, puis teste ce workflow dans un environnement sans fonds réels.</w:t>
      </w:r>
    </w:p>
    <w:p>
      <w:pPr>
        <w:pStyle w:val="Heading2"/>
      </w:pPr>
      <w:r>
        <w:t>Architecture de marque</w:t>
      </w:r>
    </w:p>
    <w:tbl>
      <w:tblPr>
        <w:tblStyle w:val="TableGrid"/>
        <w:tblW w:type="dxa" w:w="9500"/>
        <w:jc w:val="left"/>
        <w:tblLayout w:type="fixed"/>
        <w:tblLook w:firstColumn="1" w:firstRow="1" w:lastColumn="0" w:lastRow="0" w:noHBand="0" w:noVBand="1" w:val="04A0"/>
        <w:tblInd w:w="120" w:type="dxa"/>
      </w:tblPr>
      <w:tblGrid>
        <w:gridCol w:w="2500"/>
        <w:gridCol w:w="3500"/>
        <w:gridCol w:w="3500"/>
      </w:tblGrid>
      <w:tr>
        <w:trPr>
          <w:tblHeader w:val="true"/>
          <w:cantSplit/>
        </w:trPr>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Nom</w:t>
            </w:r>
          </w:p>
        </w:tc>
        <w:tc>
          <w:tcPr>
            <w:tcW w:type="dxa" w:w="3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Rôle</w:t>
            </w:r>
          </w:p>
        </w:tc>
        <w:tc>
          <w:tcPr>
            <w:tcW w:type="dxa" w:w="3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Usage externe</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Pacturion</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Marque et interlocuteur commercial</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Nom principal dans tous les échanges</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VERIDIA Protocol</w:t>
            </w:r>
          </w:p>
        </w:tc>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Infrastructure technique</w:t>
            </w:r>
          </w:p>
        </w:tc>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Mention secondaire si l’interlocuteur veut comprendre la technologie</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ALPHA</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Nom de travail de l’hypothèse produit</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Ne pas utiliser comme produit public validé</w:t>
            </w:r>
          </w:p>
        </w:tc>
      </w:tr>
    </w:tbl>
    <w:p>
      <w:pPr>
        <w:spacing w:after="40"/>
      </w:pPr>
    </w:p>
    <w:p>
      <w:pPr>
        <w:pStyle w:val="Heading2"/>
      </w:pPr>
      <w:r>
        <w:t>Ce que le partenaire obtient</w:t>
      </w:r>
    </w:p>
    <w:p>
      <w:pPr>
        <w:numPr>
          <w:ilvl w:val="0"/>
          <w:numId w:val="16"/>
        </w:numPr>
        <w:spacing w:after="80" w:line="283" w:lineRule="auto"/>
      </w:pPr>
      <w:r>
        <w:rPr>
          <w:rFonts w:ascii="Arial" w:hAnsi="Arial" w:eastAsia="Arial"/>
          <w:color w:val="162019"/>
          <w:sz w:val="20"/>
        </w:rPr>
        <w:t>une cartographie claire de son workflow d’engagement et de décision ;</w:t>
      </w:r>
    </w:p>
    <w:p>
      <w:pPr>
        <w:numPr>
          <w:ilvl w:val="0"/>
          <w:numId w:val="16"/>
        </w:numPr>
        <w:spacing w:after="80" w:line="283" w:lineRule="auto"/>
      </w:pPr>
      <w:r>
        <w:rPr>
          <w:rFonts w:ascii="Arial" w:hAnsi="Arial" w:eastAsia="Arial"/>
          <w:color w:val="162019"/>
          <w:sz w:val="20"/>
        </w:rPr>
        <w:t>des critères, rôles et sources de preuve explicités avant l’exécution ;</w:t>
      </w:r>
    </w:p>
    <w:p>
      <w:pPr>
        <w:numPr>
          <w:ilvl w:val="0"/>
          <w:numId w:val="16"/>
        </w:numPr>
        <w:spacing w:after="80" w:line="283" w:lineRule="auto"/>
      </w:pPr>
      <w:r>
        <w:rPr>
          <w:rFonts w:ascii="Arial" w:hAnsi="Arial" w:eastAsia="Arial"/>
          <w:color w:val="162019"/>
          <w:sz w:val="20"/>
        </w:rPr>
        <w:t>un essai testnet borné sans fonds ni effet de production ;</w:t>
      </w:r>
    </w:p>
    <w:p>
      <w:pPr>
        <w:numPr>
          <w:ilvl w:val="0"/>
          <w:numId w:val="16"/>
        </w:numPr>
        <w:spacing w:after="80" w:line="283" w:lineRule="auto"/>
      </w:pPr>
      <w:r>
        <w:rPr>
          <w:rFonts w:ascii="Arial" w:hAnsi="Arial" w:eastAsia="Arial"/>
          <w:color w:val="162019"/>
          <w:sz w:val="20"/>
        </w:rPr>
        <w:t>un dossier de résultats, d’écarts et de traçabilité ;</w:t>
      </w:r>
    </w:p>
    <w:p>
      <w:pPr>
        <w:numPr>
          <w:ilvl w:val="0"/>
          <w:numId w:val="16"/>
        </w:numPr>
        <w:spacing w:after="80" w:line="283" w:lineRule="auto"/>
      </w:pPr>
      <w:r>
        <w:rPr>
          <w:rFonts w:ascii="Arial" w:hAnsi="Arial" w:eastAsia="Arial"/>
          <w:color w:val="162019"/>
          <w:sz w:val="20"/>
        </w:rPr>
        <w:t>une restitution avec décision sur l’intérêt de poursuivre.</w:t>
      </w:r>
    </w:p>
    <w:p>
      <w:pPr>
        <w:pStyle w:val="Heading2"/>
      </w:pPr>
      <w:r>
        <w:t>Ce que Pacturion demande</w:t>
      </w:r>
    </w:p>
    <w:p>
      <w:pPr>
        <w:numPr>
          <w:ilvl w:val="0"/>
          <w:numId w:val="17"/>
        </w:numPr>
        <w:spacing w:after="80" w:line="283" w:lineRule="auto"/>
      </w:pPr>
      <w:r>
        <w:rPr>
          <w:rFonts w:ascii="Arial" w:hAnsi="Arial" w:eastAsia="Arial"/>
          <w:color w:val="162019"/>
          <w:sz w:val="20"/>
        </w:rPr>
        <w:t>un décideur métier disponible ;</w:t>
      </w:r>
    </w:p>
    <w:p>
      <w:pPr>
        <w:numPr>
          <w:ilvl w:val="0"/>
          <w:numId w:val="17"/>
        </w:numPr>
        <w:spacing w:after="80" w:line="283" w:lineRule="auto"/>
      </w:pPr>
      <w:r>
        <w:rPr>
          <w:rFonts w:ascii="Arial" w:hAnsi="Arial" w:eastAsia="Arial"/>
          <w:color w:val="162019"/>
          <w:sz w:val="20"/>
        </w:rPr>
        <w:t>un cas réel pouvant être anonymisé ou reproduit avec des données synthétiques ;</w:t>
      </w:r>
    </w:p>
    <w:p>
      <w:pPr>
        <w:numPr>
          <w:ilvl w:val="0"/>
          <w:numId w:val="17"/>
        </w:numPr>
        <w:spacing w:after="80" w:line="283" w:lineRule="auto"/>
      </w:pPr>
      <w:r>
        <w:rPr>
          <w:rFonts w:ascii="Arial" w:hAnsi="Arial" w:eastAsia="Arial"/>
          <w:color w:val="162019"/>
          <w:sz w:val="20"/>
        </w:rPr>
        <w:t>deux à quatre heures cumulées sur quatre semaines ;</w:t>
      </w:r>
    </w:p>
    <w:p>
      <w:pPr>
        <w:numPr>
          <w:ilvl w:val="0"/>
          <w:numId w:val="17"/>
        </w:numPr>
        <w:spacing w:after="80" w:line="283" w:lineRule="auto"/>
      </w:pPr>
      <w:r>
        <w:rPr>
          <w:rFonts w:ascii="Arial" w:hAnsi="Arial" w:eastAsia="Arial"/>
          <w:color w:val="162019"/>
          <w:sz w:val="20"/>
        </w:rPr>
        <w:t>un retour honnête, y compris négatif ;</w:t>
      </w:r>
    </w:p>
    <w:p>
      <w:pPr>
        <w:numPr>
          <w:ilvl w:val="0"/>
          <w:numId w:val="17"/>
        </w:numPr>
        <w:spacing w:after="80" w:line="283" w:lineRule="auto"/>
      </w:pPr>
      <w:r>
        <w:rPr>
          <w:rFonts w:ascii="Arial" w:hAnsi="Arial" w:eastAsia="Arial"/>
          <w:color w:val="162019"/>
          <w:sz w:val="20"/>
        </w:rPr>
        <w:t>l’autorisation écrite avant toute mention publique du partenaire.</w:t>
      </w:r>
    </w:p>
    <w:p>
      <w:pPr>
        <w:pStyle w:val="Heading2"/>
      </w:pPr>
      <w:r>
        <w:t>Modèle économique du premier pilote</w:t>
      </w:r>
    </w:p>
    <w:p>
      <w:pPr>
        <w:spacing w:after="140" w:line="307" w:lineRule="auto"/>
      </w:pPr>
      <w:r>
        <w:rPr>
          <w:rFonts w:ascii="Arial" w:hAnsi="Arial" w:eastAsia="Arial"/>
          <w:i w:val="0"/>
          <w:color w:val="162019"/>
          <w:sz w:val="20"/>
        </w:rPr>
        <w:t>Recommandation V1.0 : pilote de validation sans frais de licence, chaque partie supportant ses propres coûts, avec un engagement de temps écrit. Ce n’est ni une gratuité permanente ni une prestation de production. Toute facturation, prise en charge de frais ou promesse commerciale doit être décidée avant l’invitation et portée par une entité habilitée à contracter.</w:t>
      </w:r>
    </w:p>
    <w:p>
      <w:r>
        <w:br w:type="page"/>
      </w:r>
    </w:p>
    <w:p>
      <w:pPr>
        <w:keepNext/>
        <w:spacing w:before="440" w:after="100"/>
      </w:pPr>
      <w:r>
        <w:rPr>
          <w:rFonts w:ascii="Arial" w:hAnsi="Arial" w:eastAsia="Arial"/>
          <w:b/>
          <w:color w:val="C6A15B"/>
          <w:sz w:val="16"/>
        </w:rPr>
        <w:t>CHAPITRE 02</w:t>
      </w:r>
    </w:p>
    <w:p>
      <w:pPr>
        <w:pStyle w:val="Heading1"/>
        <w:pageBreakBefore w:val="0"/>
      </w:pPr>
      <w:r>
        <w:t>Profil du partenaire idéal</w:t>
      </w:r>
    </w:p>
    <w:p>
      <w:pPr>
        <w:pStyle w:val="Heading2"/>
      </w:pPr>
      <w:r>
        <w:t>Caractéristiques obligatoires</w:t>
      </w:r>
    </w:p>
    <w:p>
      <w:pPr>
        <w:numPr>
          <w:ilvl w:val="0"/>
          <w:numId w:val="18"/>
        </w:numPr>
        <w:spacing w:after="80" w:line="283" w:lineRule="auto"/>
      </w:pPr>
      <w:r>
        <w:rPr>
          <w:rFonts w:ascii="Arial" w:hAnsi="Arial" w:eastAsia="Arial"/>
          <w:color w:val="162019"/>
          <w:sz w:val="20"/>
        </w:rPr>
        <w:t>gère des engagements comportant au moins deux parties, une échéance et une décision ;</w:t>
      </w:r>
    </w:p>
    <w:p>
      <w:pPr>
        <w:numPr>
          <w:ilvl w:val="0"/>
          <w:numId w:val="18"/>
        </w:numPr>
        <w:spacing w:after="80" w:line="283" w:lineRule="auto"/>
      </w:pPr>
      <w:r>
        <w:rPr>
          <w:rFonts w:ascii="Arial" w:hAnsi="Arial" w:eastAsia="Arial"/>
          <w:color w:val="162019"/>
          <w:sz w:val="20"/>
        </w:rPr>
        <w:t>utilise déjà des preuves identifiables : documents, événements, signatures, API ou validations humaines ;</w:t>
      </w:r>
    </w:p>
    <w:p>
      <w:pPr>
        <w:numPr>
          <w:ilvl w:val="0"/>
          <w:numId w:val="18"/>
        </w:numPr>
        <w:spacing w:after="80" w:line="283" w:lineRule="auto"/>
      </w:pPr>
      <w:r>
        <w:rPr>
          <w:rFonts w:ascii="Arial" w:hAnsi="Arial" w:eastAsia="Arial"/>
          <w:color w:val="162019"/>
          <w:sz w:val="20"/>
        </w:rPr>
        <w:t>subit de l’ambiguïté, des contestations, des retards ou un coût de vérification ;</w:t>
      </w:r>
    </w:p>
    <w:p>
      <w:pPr>
        <w:numPr>
          <w:ilvl w:val="0"/>
          <w:numId w:val="18"/>
        </w:numPr>
        <w:spacing w:after="80" w:line="283" w:lineRule="auto"/>
      </w:pPr>
      <w:r>
        <w:rPr>
          <w:rFonts w:ascii="Arial" w:hAnsi="Arial" w:eastAsia="Arial"/>
          <w:color w:val="162019"/>
          <w:sz w:val="20"/>
        </w:rPr>
        <w:t>peut isoler un cas pilote sans impact réel ni donnée sensible ;</w:t>
      </w:r>
    </w:p>
    <w:p>
      <w:pPr>
        <w:numPr>
          <w:ilvl w:val="0"/>
          <w:numId w:val="18"/>
        </w:numPr>
        <w:spacing w:after="80" w:line="283" w:lineRule="auto"/>
      </w:pPr>
      <w:r>
        <w:rPr>
          <w:rFonts w:ascii="Arial" w:hAnsi="Arial" w:eastAsia="Arial"/>
          <w:color w:val="162019"/>
          <w:sz w:val="20"/>
        </w:rPr>
        <w:t>dispose d’un responsable capable d’accepter ou d’arrêter le pilote ;</w:t>
      </w:r>
    </w:p>
    <w:p>
      <w:pPr>
        <w:numPr>
          <w:ilvl w:val="0"/>
          <w:numId w:val="18"/>
        </w:numPr>
        <w:spacing w:after="80" w:line="283" w:lineRule="auto"/>
      </w:pPr>
      <w:r>
        <w:rPr>
          <w:rFonts w:ascii="Arial" w:hAnsi="Arial" w:eastAsia="Arial"/>
          <w:color w:val="162019"/>
          <w:sz w:val="20"/>
        </w:rPr>
        <w:t>tolère un produit de recherche, un testnet et des résultats non garantis.</w:t>
      </w:r>
    </w:p>
    <w:p>
      <w:pPr>
        <w:pStyle w:val="Heading2"/>
      </w:pPr>
      <w:r>
        <w:t>Anti-profil</w:t>
      </w:r>
    </w:p>
    <w:tbl>
      <w:tblPr>
        <w:tblStyle w:val="TableGrid"/>
        <w:tblW w:type="dxa" w:w="9500"/>
        <w:jc w:val="left"/>
        <w:tblLayout w:type="fixed"/>
        <w:tblLook w:firstColumn="1" w:firstRow="1" w:lastColumn="0" w:lastRow="0" w:noHBand="0" w:noVBand="1" w:val="04A0"/>
        <w:tblInd w:w="120" w:type="dxa"/>
      </w:tblPr>
      <w:tblGrid>
        <w:gridCol w:w="4000"/>
        <w:gridCol w:w="5500"/>
      </w:tblGrid>
      <w:tr>
        <w:trPr>
          <w:tblHeader w:val="true"/>
          <w:cantSplit/>
        </w:trPr>
        <w:tc>
          <w:tcPr>
            <w:tcW w:type="dxa" w:w="4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Profil à éviter</w:t>
            </w:r>
          </w:p>
        </w:tc>
        <w:tc>
          <w:tcPr>
            <w:tcW w:type="dxa" w:w="5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Pourquoi</w:t>
            </w:r>
          </w:p>
        </w:tc>
      </w:tr>
      <w:tr>
        <w:trPr>
          <w:cantSplit/>
        </w:trPr>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Entreprise cherchant une solution prête à déployer</w:t>
            </w:r>
          </w:p>
        </w:tc>
        <w:tc>
          <w:tcPr>
            <w:tcW w:type="dxa" w:w="5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Pacturion n’est pas encore une offre de production</w:t>
            </w:r>
          </w:p>
        </w:tc>
      </w:tr>
      <w:tr>
        <w:trPr>
          <w:cantSplit/>
        </w:trPr>
        <w:tc>
          <w:tcPr>
            <w:tcW w:type="dxa" w:w="4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Projet crypto motivé par le token ou le prix</w:t>
            </w:r>
          </w:p>
        </w:tc>
        <w:tc>
          <w:tcPr>
            <w:tcW w:type="dxa" w:w="5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Le pilote est tokenless et VERIDIA reste dormant</w:t>
            </w:r>
          </w:p>
        </w:tc>
      </w:tr>
      <w:tr>
        <w:trPr>
          <w:cantSplit/>
        </w:trPr>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Organisation sans décideur disponible</w:t>
            </w:r>
          </w:p>
        </w:tc>
        <w:tc>
          <w:tcPr>
            <w:tcW w:type="dxa" w:w="5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Le pilote ne produira aucune validation exploitable</w:t>
            </w:r>
          </w:p>
        </w:tc>
      </w:tr>
      <w:tr>
        <w:trPr>
          <w:cantSplit/>
        </w:trPr>
        <w:tc>
          <w:tcPr>
            <w:tcW w:type="dxa" w:w="4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Cas nécessitant des fonds ou sanctions réels</w:t>
            </w:r>
          </w:p>
        </w:tc>
        <w:tc>
          <w:tcPr>
            <w:tcW w:type="dxa" w:w="5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Le périmètre les interdit</w:t>
            </w:r>
          </w:p>
        </w:tc>
      </w:tr>
      <w:tr>
        <w:trPr>
          <w:cantSplit/>
        </w:trPr>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Processus sans preuve objectivable</w:t>
            </w:r>
          </w:p>
        </w:tc>
        <w:tc>
          <w:tcPr>
            <w:tcW w:type="dxa" w:w="5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La promesse centrale ne peut pas être évaluée</w:t>
            </w:r>
          </w:p>
        </w:tc>
      </w:tr>
      <w:tr>
        <w:trPr>
          <w:cantSplit/>
        </w:trPr>
        <w:tc>
          <w:tcPr>
            <w:tcW w:type="dxa" w:w="4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Participant exigeant confidentialité totale sans accès aux faits</w:t>
            </w:r>
          </w:p>
        </w:tc>
        <w:tc>
          <w:tcPr>
            <w:tcW w:type="dxa" w:w="5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Impossible de constituer un dossier de preuve</w:t>
            </w:r>
          </w:p>
        </w:tc>
      </w:tr>
    </w:tbl>
    <w:p>
      <w:pPr>
        <w:spacing w:after="40"/>
      </w:pPr>
    </w:p>
    <w:p>
      <w:pPr>
        <w:pStyle w:val="Heading2"/>
      </w:pPr>
      <w:r>
        <w:t>Interlocuteurs à viser</w:t>
      </w:r>
    </w:p>
    <w:tbl>
      <w:tblPr>
        <w:tblStyle w:val="TableGrid"/>
        <w:tblW w:type="dxa" w:w="9500"/>
        <w:jc w:val="left"/>
        <w:tblLayout w:type="fixed"/>
        <w:tblLook w:firstColumn="1" w:firstRow="1" w:lastColumn="0" w:lastRow="0" w:noHBand="0" w:noVBand="1" w:val="04A0"/>
        <w:tblInd w:w="120" w:type="dxa"/>
      </w:tblPr>
      <w:tblGrid>
        <w:gridCol w:w="1400"/>
        <w:gridCol w:w="4300"/>
        <w:gridCol w:w="3800"/>
      </w:tblGrid>
      <w:tr>
        <w:trPr>
          <w:tblHeader w:val="true"/>
          <w:cantSplit/>
        </w:trPr>
        <w:tc>
          <w:tcPr>
            <w:tcW w:type="dxa" w:w="1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Priorité</w:t>
            </w:r>
          </w:p>
        </w:tc>
        <w:tc>
          <w:tcPr>
            <w:tcW w:type="dxa" w:w="4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Fonctions</w:t>
            </w:r>
          </w:p>
        </w:tc>
        <w:tc>
          <w:tcPr>
            <w:tcW w:type="dxa" w:w="3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Pourquoi</w:t>
            </w:r>
          </w:p>
        </w:tc>
      </w:tr>
      <w:tr>
        <w:trPr>
          <w:cantSplit/>
        </w:trPr>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1</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Fondateur, COO, responsable opérations</w:t>
            </w:r>
          </w:p>
        </w:tc>
        <w:tc>
          <w:tcPr>
            <w:tcW w:type="dxa" w:w="3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Décision rapide et vision du workflow complet</w:t>
            </w:r>
          </w:p>
        </w:tc>
      </w:tr>
      <w:tr>
        <w:trPr>
          <w:cantSplit/>
        </w:trPr>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2</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Responsable conformité, risque ou contrôle interne</w:t>
            </w:r>
          </w:p>
        </w:tc>
        <w:tc>
          <w:tcPr>
            <w:tcW w:type="dxa" w:w="3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Sensibilité à la preuve et à l’auditabilité</w:t>
            </w:r>
          </w:p>
        </w:tc>
      </w:tr>
      <w:tr>
        <w:trPr>
          <w:cantSplit/>
        </w:trPr>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3</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Responsable innovation, Web3 ou transformation</w:t>
            </w:r>
          </w:p>
        </w:tc>
        <w:tc>
          <w:tcPr>
            <w:tcW w:type="dxa" w:w="3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Capacité à parrainer un testnet</w:t>
            </w:r>
          </w:p>
        </w:tc>
      </w:tr>
      <w:tr>
        <w:trPr>
          <w:cantSplit/>
        </w:trPr>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4</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Product manager d’une plateforme à workflows</w:t>
            </w:r>
          </w:p>
        </w:tc>
        <w:tc>
          <w:tcPr>
            <w:tcW w:type="dxa" w:w="3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Compréhension de l’intégration et des utilisateurs</w:t>
            </w:r>
          </w:p>
        </w:tc>
      </w:tr>
    </w:tbl>
    <w:p>
      <w:pPr>
        <w:spacing w:after="40"/>
      </w:pPr>
    </w:p>
    <w:p>
      <w:r>
        <w:br w:type="page"/>
      </w:r>
    </w:p>
    <w:p>
      <w:pPr>
        <w:keepNext/>
        <w:spacing w:before="440" w:after="100"/>
      </w:pPr>
      <w:r>
        <w:rPr>
          <w:rFonts w:ascii="Arial" w:hAnsi="Arial" w:eastAsia="Arial"/>
          <w:b/>
          <w:color w:val="C6A15B"/>
          <w:sz w:val="16"/>
        </w:rPr>
        <w:t>CHAPITRE 03</w:t>
      </w:r>
    </w:p>
    <w:p>
      <w:pPr>
        <w:pStyle w:val="Heading1"/>
        <w:pageBreakBefore w:val="0"/>
      </w:pPr>
      <w:r>
        <w:t>Segments et ordre d’attaque</w:t>
      </w:r>
    </w:p>
    <w:p>
      <w:pPr>
        <w:spacing w:after="140" w:line="307" w:lineRule="auto"/>
      </w:pPr>
      <w:r>
        <w:rPr>
          <w:rFonts w:ascii="Arial" w:hAnsi="Arial" w:eastAsia="Arial"/>
          <w:i w:val="0"/>
          <w:color w:val="162019"/>
          <w:sz w:val="20"/>
        </w:rPr>
        <w:t>Aucun segment n’est encore validé. L’ordre ci-dessous est une hypothèse de prospection, pas une conclusion de marché.</w:t>
      </w:r>
    </w:p>
    <w:tbl>
      <w:tblPr>
        <w:tblStyle w:val="TableGrid"/>
        <w:tblW w:type="dxa" w:w="9500"/>
        <w:jc w:val="left"/>
        <w:tblLayout w:type="fixed"/>
        <w:tblLook w:firstColumn="1" w:firstRow="1" w:lastColumn="0" w:lastRow="0" w:noHBand="0" w:noVBand="1" w:val="04A0"/>
        <w:tblInd w:w="120" w:type="dxa"/>
      </w:tblPr>
      <w:tblGrid>
        <w:gridCol w:w="1100"/>
        <w:gridCol w:w="2900"/>
        <w:gridCol w:w="3300"/>
        <w:gridCol w:w="2200"/>
      </w:tblGrid>
      <w:tr>
        <w:trPr>
          <w:tblHeader w:val="true"/>
          <w:cantSplit/>
        </w:trPr>
        <w:tc>
          <w:tcPr>
            <w:tcW w:type="dxa" w:w="1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Rang</w:t>
            </w:r>
          </w:p>
        </w:tc>
        <w:tc>
          <w:tcPr>
            <w:tcW w:type="dxa" w:w="2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Segment test</w:t>
            </w:r>
          </w:p>
        </w:tc>
        <w:tc>
          <w:tcPr>
            <w:tcW w:type="dxa" w:w="3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Workflow possible</w:t>
            </w:r>
          </w:p>
        </w:tc>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Risque</w:t>
            </w:r>
          </w:p>
        </w:tc>
      </w:tr>
      <w:tr>
        <w:trPr>
          <w:cantSplit/>
        </w:trPr>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1</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Startups/scale-ups opérant des workflows numériques</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Jalons, livrables, validations et exceptions</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Besoin parfois trop spécifique</w:t>
            </w:r>
          </w:p>
        </w:tc>
      </w:tr>
      <w:tr>
        <w:trPr>
          <w:cantSplit/>
        </w:trPr>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2</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Protocoles, fondations ou communautés Web3</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Grants, bounties, contributions et validation</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Confusion possible avec token/investissement</w:t>
            </w:r>
          </w:p>
        </w:tc>
      </w:tr>
      <w:tr>
        <w:trPr>
          <w:cantSplit/>
        </w:trPr>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3</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Cabinets et équipes conformité/contrôle</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Obligations, preuves, revue et visa</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Cycle de confiance plus long</w:t>
            </w:r>
          </w:p>
        </w:tc>
      </w:tr>
      <w:tr>
        <w:trPr>
          <w:cantSplit/>
        </w:trPr>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4</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Labs innovation de groupes</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Preuve de concept sur processus interne</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Cycle de décision lent et politique</w:t>
            </w:r>
          </w:p>
        </w:tc>
      </w:tr>
      <w:tr>
        <w:trPr>
          <w:cantSplit/>
        </w:trPr>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5</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Plateformes B2B ou marketplaces</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Engagements entre acteurs et preuve d’exécution</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Intégration technique prématurée</w:t>
            </w:r>
          </w:p>
        </w:tc>
      </w:tr>
    </w:tbl>
    <w:p>
      <w:pPr>
        <w:spacing w:after="40"/>
      </w:pPr>
    </w:p>
    <w:p>
      <w:pPr>
        <w:pStyle w:val="Heading2"/>
      </w:pPr>
      <w:r>
        <w:t>Premier segment recommandé</w:t>
      </w:r>
    </w:p>
    <w:p>
      <w:pPr>
        <w:spacing w:before="100" w:after="180" w:line="283" w:lineRule="auto"/>
        <w:ind w:left="227" w:right="170"/>
        <w:shd w:fill="EDF3EF"/>
        <w:pBdr>
          <w:left w:val="single" w:sz="18" w:space="8" w:color="155A3E"/>
        </w:pBdr>
      </w:pPr>
      <w:r>
        <w:rPr>
          <w:rFonts w:ascii="Arial" w:hAnsi="Arial" w:eastAsia="Arial"/>
          <w:b/>
          <w:color w:val="155A3E"/>
          <w:sz w:val="16"/>
        </w:rPr>
        <w:t>PRIORITÉ</w:t>
        <w:br/>
      </w:r>
      <w:r>
        <w:rPr>
          <w:rFonts w:ascii="Arial" w:hAnsi="Arial" w:eastAsia="Arial"/>
          <w:b w:val="0"/>
          <w:color w:val="162019"/>
          <w:sz w:val="20"/>
        </w:rPr>
        <w:t>Commencer par de petites organisations numériques où le décideur est accessible et où un workflow de jalons ou de validation existe déjà. Éviter d’abord les grands groupes : leur crédibilité est séduisante, mais leur cycle de décision peut bloquer Pacturion avant même le test.</w:t>
      </w:r>
    </w:p>
    <w:p>
      <w:pPr>
        <w:pStyle w:val="Heading2"/>
      </w:pPr>
      <w:r>
        <w:t>Cas d’usage à proposer comme exemples — jamais comme promesses</w:t>
      </w:r>
    </w:p>
    <w:p>
      <w:pPr>
        <w:numPr>
          <w:ilvl w:val="0"/>
          <w:numId w:val="19"/>
        </w:numPr>
        <w:spacing w:after="80" w:line="283" w:lineRule="auto"/>
      </w:pPr>
      <w:r>
        <w:rPr>
          <w:rFonts w:ascii="Arial" w:hAnsi="Arial" w:eastAsia="Arial"/>
          <w:color w:val="162019"/>
          <w:sz w:val="20"/>
        </w:rPr>
        <w:t>validation de livrables selon des critères gelés ;</w:t>
      </w:r>
    </w:p>
    <w:p>
      <w:pPr>
        <w:numPr>
          <w:ilvl w:val="0"/>
          <w:numId w:val="19"/>
        </w:numPr>
        <w:spacing w:after="80" w:line="283" w:lineRule="auto"/>
      </w:pPr>
      <w:r>
        <w:rPr>
          <w:rFonts w:ascii="Arial" w:hAnsi="Arial" w:eastAsia="Arial"/>
          <w:color w:val="162019"/>
          <w:sz w:val="20"/>
        </w:rPr>
        <w:t>suivi d’un engagement avec échéance et preuve d’exécution ;</w:t>
      </w:r>
    </w:p>
    <w:p>
      <w:pPr>
        <w:numPr>
          <w:ilvl w:val="0"/>
          <w:numId w:val="19"/>
        </w:numPr>
        <w:spacing w:after="80" w:line="283" w:lineRule="auto"/>
      </w:pPr>
      <w:r>
        <w:rPr>
          <w:rFonts w:ascii="Arial" w:hAnsi="Arial" w:eastAsia="Arial"/>
          <w:color w:val="162019"/>
          <w:sz w:val="20"/>
        </w:rPr>
        <w:t>attribution d’un statut après revue de sources autorisées ;</w:t>
      </w:r>
    </w:p>
    <w:p>
      <w:pPr>
        <w:numPr>
          <w:ilvl w:val="0"/>
          <w:numId w:val="19"/>
        </w:numPr>
        <w:spacing w:after="80" w:line="283" w:lineRule="auto"/>
      </w:pPr>
      <w:r>
        <w:rPr>
          <w:rFonts w:ascii="Arial" w:hAnsi="Arial" w:eastAsia="Arial"/>
          <w:color w:val="162019"/>
          <w:sz w:val="20"/>
        </w:rPr>
        <w:t>gestion d’exception ou de contestation avec historique complet ;</w:t>
      </w:r>
    </w:p>
    <w:p>
      <w:pPr>
        <w:numPr>
          <w:ilvl w:val="0"/>
          <w:numId w:val="19"/>
        </w:numPr>
        <w:spacing w:after="80" w:line="283" w:lineRule="auto"/>
      </w:pPr>
      <w:r>
        <w:rPr>
          <w:rFonts w:ascii="Arial" w:hAnsi="Arial" w:eastAsia="Arial"/>
          <w:color w:val="162019"/>
          <w:sz w:val="20"/>
        </w:rPr>
        <w:t>campagne sponsorisée simulée sans paiement réel.</w:t>
      </w:r>
    </w:p>
    <w:p>
      <w:pPr>
        <w:pStyle w:val="Heading2"/>
      </w:pPr>
      <w:r>
        <w:t>Test de segment</w:t>
      </w:r>
    </w:p>
    <w:tbl>
      <w:tblPr>
        <w:tblStyle w:val="TableGrid"/>
        <w:tblW w:type="dxa" w:w="9500"/>
        <w:jc w:val="left"/>
        <w:tblLayout w:type="fixed"/>
        <w:tblLook w:firstColumn="1" w:firstRow="1" w:lastColumn="0" w:lastRow="0" w:noHBand="0" w:noVBand="1" w:val="04A0"/>
        <w:tblInd w:w="120" w:type="dxa"/>
      </w:tblPr>
      <w:tblGrid>
        <w:gridCol w:w="4700"/>
        <w:gridCol w:w="4800"/>
      </w:tblGrid>
      <w:tr>
        <w:trPr>
          <w:tblHeader w:val="true"/>
          <w:cantSplit/>
        </w:trPr>
        <w:tc>
          <w:tcPr>
            <w:tcW w:type="dxa" w:w="47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Après 5 conversations</w:t>
            </w:r>
          </w:p>
        </w:tc>
        <w:tc>
          <w:tcPr>
            <w:tcW w:type="dxa" w:w="4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Décision</w:t>
            </w:r>
          </w:p>
        </w:tc>
      </w:tr>
      <w:tr>
        <w:trPr>
          <w:cantSplit/>
        </w:trPr>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 3 décrivent le même problème avec exemples</w:t>
            </w:r>
          </w:p>
        </w:tc>
        <w:tc>
          <w:tcPr>
            <w:tcW w:type="dxa" w:w="4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Approfondir le segment</w:t>
            </w:r>
          </w:p>
        </w:tc>
      </w:tr>
      <w:tr>
        <w:trPr>
          <w:cantSplit/>
        </w:trPr>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Intérêt mais aucun workflow testable</w:t>
            </w:r>
          </w:p>
        </w:tc>
        <w:tc>
          <w:tcPr>
            <w:tcW w:type="dxa" w:w="4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Reformuler l’offre ou changer d’interlocuteur</w:t>
            </w:r>
          </w:p>
        </w:tc>
      </w:tr>
      <w:tr>
        <w:trPr>
          <w:cantSplit/>
        </w:trPr>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Intérêt centré sur le token</w:t>
            </w:r>
          </w:p>
        </w:tc>
        <w:tc>
          <w:tcPr>
            <w:tcW w:type="dxa" w:w="4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Écarter le segment pour le pilote V1.0</w:t>
            </w:r>
          </w:p>
        </w:tc>
      </w:tr>
      <w:tr>
        <w:trPr>
          <w:cantSplit/>
        </w:trPr>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Aucune urgence ni coût du problème</w:t>
            </w:r>
          </w:p>
        </w:tc>
        <w:tc>
          <w:tcPr>
            <w:tcW w:type="dxa" w:w="4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Abandonner le segment</w:t>
            </w:r>
          </w:p>
        </w:tc>
      </w:tr>
    </w:tbl>
    <w:p>
      <w:pPr>
        <w:spacing w:after="40"/>
      </w:pPr>
    </w:p>
    <w:p>
      <w:r>
        <w:br w:type="page"/>
      </w:r>
    </w:p>
    <w:p>
      <w:pPr>
        <w:keepNext/>
        <w:spacing w:before="440" w:after="100"/>
      </w:pPr>
      <w:r>
        <w:rPr>
          <w:rFonts w:ascii="Arial" w:hAnsi="Arial" w:eastAsia="Arial"/>
          <w:b/>
          <w:color w:val="C6A15B"/>
          <w:sz w:val="16"/>
        </w:rPr>
        <w:t>CHAPITRE 04</w:t>
      </w:r>
    </w:p>
    <w:p>
      <w:pPr>
        <w:pStyle w:val="Heading1"/>
        <w:pageBreakBefore w:val="0"/>
      </w:pPr>
      <w:r>
        <w:t>Brief partenaire — version externe</w:t>
      </w:r>
    </w:p>
    <w:p>
      <w:pPr>
        <w:pStyle w:val="Heading2"/>
      </w:pPr>
      <w:r>
        <w:t>Pacturion, en bref</w:t>
      </w:r>
    </w:p>
    <w:p>
      <w:pPr>
        <w:spacing w:after="140" w:line="307" w:lineRule="auto"/>
      </w:pPr>
      <w:r>
        <w:rPr>
          <w:rFonts w:ascii="Arial" w:hAnsi="Arial" w:eastAsia="Arial"/>
          <w:i w:val="0"/>
          <w:color w:val="162019"/>
          <w:sz w:val="20"/>
        </w:rPr>
        <w:t>Pacturion développe une infrastructure de recherche destinée à rendre certains engagements plus vérifiables. Le principe consiste à définir à l’avance les obligations, les acteurs, les sources de preuve et les règles de décision, puis à produire un historique traçable de l’exécution.</w:t>
      </w:r>
    </w:p>
    <w:p>
      <w:pPr>
        <w:pStyle w:val="Heading2"/>
      </w:pPr>
      <w:r>
        <w:t>Pourquoi un pilote externe</w:t>
      </w:r>
    </w:p>
    <w:p>
      <w:pPr>
        <w:spacing w:after="140" w:line="307" w:lineRule="auto"/>
      </w:pPr>
      <w:r>
        <w:rPr>
          <w:rFonts w:ascii="Arial" w:hAnsi="Arial" w:eastAsia="Arial"/>
          <w:i w:val="0"/>
          <w:color w:val="162019"/>
          <w:sz w:val="20"/>
        </w:rPr>
        <w:t>Les essais internes ont permis de valider un Release Candidate dans un cadre contrôlé. L’étape suivante est de vérifier si le modèle reste utile et compréhensible sur un workflow réel porté par une organisation extérieure. Le pilote doit autant pouvoir confirmer l’hypothèse que la remettre en cause.</w:t>
      </w:r>
    </w:p>
    <w:p>
      <w:pPr>
        <w:pStyle w:val="Heading2"/>
      </w:pPr>
      <w:r>
        <w:t>Format proposé</w:t>
      </w:r>
    </w:p>
    <w:tbl>
      <w:tblPr>
        <w:tblStyle w:val="TableGrid"/>
        <w:tblW w:type="dxa" w:w="9500"/>
        <w:jc w:val="left"/>
        <w:tblLayout w:type="fixed"/>
        <w:tblLook w:firstColumn="1" w:firstRow="1" w:lastColumn="0" w:lastRow="0" w:noHBand="0" w:noVBand="1" w:val="04A0"/>
        <w:tblInd w:w="120" w:type="dxa"/>
      </w:tblPr>
      <w:tblGrid>
        <w:gridCol w:w="3000"/>
        <w:gridCol w:w="6500"/>
      </w:tblGrid>
      <w:tr>
        <w:trPr>
          <w:tblHeader w:val="true"/>
          <w:cantSplit/>
        </w:trPr>
        <w:tc>
          <w:tcPr>
            <w:tcW w:type="dxa" w:w="3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Élément</w:t>
            </w:r>
          </w:p>
        </w:tc>
        <w:tc>
          <w:tcPr>
            <w:tcW w:type="dxa" w:w="6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Cadre</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Durée</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Quatre semaines, dont deux à quatre heures cumulées côté partenaire</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Environnement</w:t>
            </w:r>
          </w:p>
        </w:tc>
        <w:tc>
          <w:tcPr>
            <w:tcW w:type="dxa" w:w="6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Local et Base Sepolia, chain ID 84532</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Effets</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Simulation uniquement ; aucun fonds, paiement ou actif réel</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Cas</w:t>
            </w:r>
          </w:p>
        </w:tc>
        <w:tc>
          <w:tcPr>
            <w:tcW w:type="dxa" w:w="6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Un workflow borné avec au moins cinq cas représentatifs proposés</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Données</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Minimisées, pseudonymisées ou synthétiques lorsque possible</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Sortie</w:t>
            </w:r>
          </w:p>
        </w:tc>
        <w:tc>
          <w:tcPr>
            <w:tcW w:type="dxa" w:w="6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Restitution, dossier de preuves et décision GO/PIVOT/NO-GO</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Coût proposé</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Sans frais de licence pour le premier pilote ; coûts propres à chaque partie</w:t>
            </w:r>
          </w:p>
        </w:tc>
      </w:tr>
    </w:tbl>
    <w:p>
      <w:pPr>
        <w:spacing w:after="40"/>
      </w:pPr>
    </w:p>
    <w:p>
      <w:pPr>
        <w:pStyle w:val="Heading2"/>
      </w:pPr>
      <w:r>
        <w:t>Ce que ce pilote n’est pas</w:t>
      </w:r>
    </w:p>
    <w:p>
      <w:pPr>
        <w:numPr>
          <w:ilvl w:val="0"/>
          <w:numId w:val="20"/>
        </w:numPr>
        <w:spacing w:after="80" w:line="283" w:lineRule="auto"/>
      </w:pPr>
      <w:r>
        <w:rPr>
          <w:rFonts w:ascii="Arial" w:hAnsi="Arial" w:eastAsia="Arial"/>
          <w:color w:val="162019"/>
          <w:sz w:val="20"/>
        </w:rPr>
        <w:t>une mise en production ;</w:t>
      </w:r>
    </w:p>
    <w:p>
      <w:pPr>
        <w:numPr>
          <w:ilvl w:val="0"/>
          <w:numId w:val="20"/>
        </w:numPr>
        <w:spacing w:after="80" w:line="283" w:lineRule="auto"/>
      </w:pPr>
      <w:r>
        <w:rPr>
          <w:rFonts w:ascii="Arial" w:hAnsi="Arial" w:eastAsia="Arial"/>
          <w:color w:val="162019"/>
          <w:sz w:val="20"/>
        </w:rPr>
        <w:t>un audit indépendant ou une certification de sécurité ;</w:t>
      </w:r>
    </w:p>
    <w:p>
      <w:pPr>
        <w:numPr>
          <w:ilvl w:val="0"/>
          <w:numId w:val="20"/>
        </w:numPr>
        <w:spacing w:after="80" w:line="283" w:lineRule="auto"/>
      </w:pPr>
      <w:r>
        <w:rPr>
          <w:rFonts w:ascii="Arial" w:hAnsi="Arial" w:eastAsia="Arial"/>
          <w:color w:val="162019"/>
          <w:sz w:val="20"/>
        </w:rPr>
        <w:t>une validation MiCA ou une activité réglementée ;</w:t>
      </w:r>
    </w:p>
    <w:p>
      <w:pPr>
        <w:numPr>
          <w:ilvl w:val="0"/>
          <w:numId w:val="20"/>
        </w:numPr>
        <w:spacing w:after="80" w:line="283" w:lineRule="auto"/>
      </w:pPr>
      <w:r>
        <w:rPr>
          <w:rFonts w:ascii="Arial" w:hAnsi="Arial" w:eastAsia="Arial"/>
          <w:color w:val="162019"/>
          <w:sz w:val="20"/>
        </w:rPr>
        <w:t>une offre, distribution ou vente de crypto-actif ;</w:t>
      </w:r>
    </w:p>
    <w:p>
      <w:pPr>
        <w:numPr>
          <w:ilvl w:val="0"/>
          <w:numId w:val="20"/>
        </w:numPr>
        <w:spacing w:after="80" w:line="283" w:lineRule="auto"/>
      </w:pPr>
      <w:r>
        <w:rPr>
          <w:rFonts w:ascii="Arial" w:hAnsi="Arial" w:eastAsia="Arial"/>
          <w:color w:val="162019"/>
          <w:sz w:val="20"/>
        </w:rPr>
        <w:t>une promesse de résultat, d’économie ou de performance.</w:t>
      </w:r>
    </w:p>
    <w:p>
      <w:pPr>
        <w:spacing w:before="100" w:after="180" w:line="283" w:lineRule="auto"/>
        <w:ind w:left="227" w:right="170"/>
        <w:shd w:fill="EDF3EF"/>
        <w:pBdr>
          <w:left w:val="single" w:sz="18" w:space="8" w:color="155A3E"/>
        </w:pBdr>
      </w:pPr>
      <w:r>
        <w:rPr>
          <w:rFonts w:ascii="Arial" w:hAnsi="Arial" w:eastAsia="Arial"/>
          <w:b/>
          <w:color w:val="155A3E"/>
          <w:sz w:val="16"/>
        </w:rPr>
        <w:t>INVITATION</w:t>
        <w:br/>
      </w:r>
      <w:r>
        <w:rPr>
          <w:rFonts w:ascii="Arial" w:hAnsi="Arial" w:eastAsia="Arial"/>
          <w:b w:val="0"/>
          <w:color w:val="162019"/>
          <w:sz w:val="20"/>
        </w:rPr>
        <w:t>Nous recherchons une organisation disposant d’un workflow réel, d’un décideur accessible et de preuves identifiables. Un échange de 25 minutes suffit pour vérifier si le cas est compatible — sans engagement de lancer le pilote.</w:t>
      </w:r>
    </w:p>
    <w:p>
      <w:r>
        <w:br w:type="page"/>
      </w:r>
    </w:p>
    <w:p>
      <w:pPr>
        <w:keepNext/>
        <w:spacing w:before="440" w:after="100"/>
      </w:pPr>
      <w:r>
        <w:rPr>
          <w:rFonts w:ascii="Arial" w:hAnsi="Arial" w:eastAsia="Arial"/>
          <w:b/>
          <w:color w:val="C6A15B"/>
          <w:sz w:val="16"/>
        </w:rPr>
        <w:t>CHAPITRE 05</w:t>
      </w:r>
    </w:p>
    <w:p>
      <w:pPr>
        <w:pStyle w:val="Heading1"/>
        <w:pageBreakBefore w:val="0"/>
      </w:pPr>
      <w:r>
        <w:t>Construction de la liste cible</w:t>
      </w:r>
    </w:p>
    <w:p>
      <w:pPr>
        <w:pStyle w:val="Heading2"/>
      </w:pPr>
      <w:r>
        <w:t>Canaux par ordre d’efficacité</w:t>
      </w:r>
    </w:p>
    <w:tbl>
      <w:tblPr>
        <w:tblStyle w:val="TableGrid"/>
        <w:tblW w:type="dxa" w:w="9500"/>
        <w:jc w:val="left"/>
        <w:tblLayout w:type="fixed"/>
        <w:tblLook w:firstColumn="1" w:firstRow="1" w:lastColumn="0" w:lastRow="0" w:noHBand="0" w:noVBand="1" w:val="04A0"/>
        <w:tblInd w:w="120" w:type="dxa"/>
      </w:tblPr>
      <w:tblGrid>
        <w:gridCol w:w="1400"/>
        <w:gridCol w:w="3300"/>
        <w:gridCol w:w="4800"/>
      </w:tblGrid>
      <w:tr>
        <w:trPr>
          <w:tblHeader w:val="true"/>
          <w:cantSplit/>
        </w:trPr>
        <w:tc>
          <w:tcPr>
            <w:tcW w:type="dxa" w:w="1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Priorité</w:t>
            </w:r>
          </w:p>
        </w:tc>
        <w:tc>
          <w:tcPr>
            <w:tcW w:type="dxa" w:w="3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Canal</w:t>
            </w:r>
          </w:p>
        </w:tc>
        <w:tc>
          <w:tcPr>
            <w:tcW w:type="dxa" w:w="4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Action</w:t>
            </w:r>
          </w:p>
        </w:tc>
      </w:tr>
      <w:tr>
        <w:trPr>
          <w:cantSplit/>
        </w:trPr>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1</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Introduction chaude</w:t>
            </w:r>
          </w:p>
        </w:tc>
        <w:tc>
          <w:tcPr>
            <w:tcW w:type="dxa" w:w="4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Demander une mise en relation précise vers un décideur</w:t>
            </w:r>
          </w:p>
        </w:tc>
      </w:tr>
      <w:tr>
        <w:trPr>
          <w:cantSplit/>
        </w:trPr>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2</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Réseau LinkedIn de second niveau</w:t>
            </w:r>
          </w:p>
        </w:tc>
        <w:tc>
          <w:tcPr>
            <w:tcW w:type="dxa" w:w="4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Approche contextualisée sur un workflow observé</w:t>
            </w:r>
          </w:p>
        </w:tc>
      </w:tr>
      <w:tr>
        <w:trPr>
          <w:cantSplit/>
        </w:trPr>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3</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Communautés spécialisées</w:t>
            </w:r>
          </w:p>
        </w:tc>
        <w:tc>
          <w:tcPr>
            <w:tcW w:type="dxa" w:w="4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Demander un cas, pas promouvoir un token</w:t>
            </w:r>
          </w:p>
        </w:tc>
      </w:tr>
      <w:tr>
        <w:trPr>
          <w:cantSplit/>
        </w:trPr>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4</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Email direct</w:t>
            </w:r>
          </w:p>
        </w:tc>
        <w:tc>
          <w:tcPr>
            <w:tcW w:type="dxa" w:w="4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Message court avec question de qualification</w:t>
            </w:r>
          </w:p>
        </w:tc>
      </w:tr>
      <w:tr>
        <w:trPr>
          <w:cantSplit/>
        </w:trPr>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5</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Publication LinkedIn</w:t>
            </w:r>
          </w:p>
        </w:tc>
        <w:tc>
          <w:tcPr>
            <w:tcW w:type="dxa" w:w="4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Créer de l’inbound après correction du site</w:t>
            </w:r>
          </w:p>
        </w:tc>
      </w:tr>
    </w:tbl>
    <w:p>
      <w:pPr>
        <w:spacing w:after="40"/>
      </w:pPr>
    </w:p>
    <w:p>
      <w:pPr>
        <w:pStyle w:val="Heading2"/>
      </w:pPr>
      <w:r>
        <w:t>Recherche minimale par compte</w:t>
      </w:r>
    </w:p>
    <w:p>
      <w:pPr>
        <w:numPr>
          <w:ilvl w:val="0"/>
          <w:numId w:val="21"/>
        </w:numPr>
        <w:spacing w:after="80" w:line="283" w:lineRule="auto"/>
      </w:pPr>
      <w:r>
        <w:rPr>
          <w:rFonts w:ascii="Arial" w:hAnsi="Arial" w:eastAsia="Arial"/>
          <w:color w:val="162019"/>
          <w:sz w:val="20"/>
        </w:rPr>
        <w:t>workflow public ou déductible sans intrusion ;</w:t>
      </w:r>
    </w:p>
    <w:p>
      <w:pPr>
        <w:numPr>
          <w:ilvl w:val="0"/>
          <w:numId w:val="21"/>
        </w:numPr>
        <w:spacing w:after="80" w:line="283" w:lineRule="auto"/>
      </w:pPr>
      <w:r>
        <w:rPr>
          <w:rFonts w:ascii="Arial" w:hAnsi="Arial" w:eastAsia="Arial"/>
          <w:color w:val="162019"/>
          <w:sz w:val="20"/>
        </w:rPr>
        <w:t>responsable métier ou fondateur identifiable ;</w:t>
      </w:r>
    </w:p>
    <w:p>
      <w:pPr>
        <w:numPr>
          <w:ilvl w:val="0"/>
          <w:numId w:val="21"/>
        </w:numPr>
        <w:spacing w:after="80" w:line="283" w:lineRule="auto"/>
      </w:pPr>
      <w:r>
        <w:rPr>
          <w:rFonts w:ascii="Arial" w:hAnsi="Arial" w:eastAsia="Arial"/>
          <w:color w:val="162019"/>
          <w:sz w:val="20"/>
        </w:rPr>
        <w:t>événement récent révélant une problématique de preuve, jalon ou validation ;</w:t>
      </w:r>
    </w:p>
    <w:p>
      <w:pPr>
        <w:numPr>
          <w:ilvl w:val="0"/>
          <w:numId w:val="21"/>
        </w:numPr>
        <w:spacing w:after="80" w:line="283" w:lineRule="auto"/>
      </w:pPr>
      <w:r>
        <w:rPr>
          <w:rFonts w:ascii="Arial" w:hAnsi="Arial" w:eastAsia="Arial"/>
          <w:color w:val="162019"/>
          <w:sz w:val="20"/>
        </w:rPr>
        <w:t>taille et cycle de décision compatibles avec quatre semaines ;</w:t>
      </w:r>
    </w:p>
    <w:p>
      <w:pPr>
        <w:numPr>
          <w:ilvl w:val="0"/>
          <w:numId w:val="21"/>
        </w:numPr>
        <w:spacing w:after="80" w:line="283" w:lineRule="auto"/>
      </w:pPr>
      <w:r>
        <w:rPr>
          <w:rFonts w:ascii="Arial" w:hAnsi="Arial" w:eastAsia="Arial"/>
          <w:color w:val="162019"/>
          <w:sz w:val="20"/>
        </w:rPr>
        <w:t>absence de dépendance évidente à des fonds réels ;</w:t>
      </w:r>
    </w:p>
    <w:p>
      <w:pPr>
        <w:numPr>
          <w:ilvl w:val="0"/>
          <w:numId w:val="21"/>
        </w:numPr>
        <w:spacing w:after="80" w:line="283" w:lineRule="auto"/>
      </w:pPr>
      <w:r>
        <w:rPr>
          <w:rFonts w:ascii="Arial" w:hAnsi="Arial" w:eastAsia="Arial"/>
          <w:color w:val="162019"/>
          <w:sz w:val="20"/>
        </w:rPr>
        <w:t>raison précise pour laquelle Pacturion contacte cette organisation.</w:t>
      </w:r>
    </w:p>
    <w:p>
      <w:pPr>
        <w:pStyle w:val="Heading2"/>
      </w:pPr>
      <w:r>
        <w:t>Liste de 20 comptes</w:t>
      </w:r>
    </w:p>
    <w:tbl>
      <w:tblPr>
        <w:tblStyle w:val="TableGrid"/>
        <w:tblW w:type="dxa" w:w="9500"/>
        <w:jc w:val="left"/>
        <w:tblLayout w:type="fixed"/>
        <w:tblLook w:firstColumn="1" w:firstRow="1" w:lastColumn="0" w:lastRow="0" w:noHBand="0" w:noVBand="1" w:val="04A0"/>
        <w:tblInd w:w="120" w:type="dxa"/>
      </w:tblPr>
      <w:tblGrid>
        <w:gridCol w:w="2000"/>
        <w:gridCol w:w="4700"/>
        <w:gridCol w:w="2800"/>
      </w:tblGrid>
      <w:tr>
        <w:trPr>
          <w:tblHeader w:val="true"/>
          <w:cantSplit/>
        </w:trPr>
        <w:tc>
          <w:tcPr>
            <w:tcW w:type="dxa" w:w="2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Lot</w:t>
            </w:r>
          </w:p>
        </w:tc>
        <w:tc>
          <w:tcPr>
            <w:tcW w:type="dxa" w:w="4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Composition</w:t>
            </w:r>
          </w:p>
        </w:tc>
        <w:tc>
          <w:tcPr>
            <w:tcW w:type="dxa" w:w="2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But</w:t>
            </w:r>
          </w:p>
        </w:tc>
      </w:tr>
      <w:tr>
        <w:trPr>
          <w:cantSplit/>
        </w:trPr>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Lot A — 5</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Contacts chauds ou recommandations</w:t>
            </w:r>
          </w:p>
        </w:tc>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Maximiser la confiance initiale</w:t>
            </w:r>
          </w:p>
        </w:tc>
      </w:tr>
      <w:tr>
        <w:trPr>
          <w:cantSplit/>
        </w:trPr>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Lot B — 5</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Startups numériques avec workflow visible</w:t>
            </w:r>
          </w:p>
        </w:tc>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Tester le segment prioritaire</w:t>
            </w:r>
          </w:p>
        </w:tc>
      </w:tr>
      <w:tr>
        <w:trPr>
          <w:cantSplit/>
        </w:trPr>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Lot C — 5</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Acteurs Web3 orientés grants/contributions</w:t>
            </w:r>
          </w:p>
        </w:tc>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Tester l’adéquation native à la preuve</w:t>
            </w:r>
          </w:p>
        </w:tc>
      </w:tr>
      <w:tr>
        <w:trPr>
          <w:cantSplit/>
        </w:trPr>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Lot D — 5</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Conformité, contrôle ou innovation</w:t>
            </w:r>
          </w:p>
        </w:tc>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Tester un segment non crypto</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QUALITÉ AVANT VOLUME</w:t>
        <w:br/>
      </w:r>
      <w:r>
        <w:rPr>
          <w:rFonts w:ascii="Arial" w:hAnsi="Arial" w:eastAsia="Arial"/>
          <w:b w:val="0"/>
          <w:color w:val="162019"/>
          <w:sz w:val="20"/>
        </w:rPr>
        <w:t>Chaque nom de la liste doit avoir un interlocuteur, un workflow supposé et une raison de contact. Une liste de logos sans hypothèse n’est pas une liste de prospection.</w:t>
      </w:r>
    </w:p>
    <w:p>
      <w:r>
        <w:br w:type="page"/>
      </w:r>
    </w:p>
    <w:p>
      <w:pPr>
        <w:keepNext/>
        <w:spacing w:before="440" w:after="100"/>
      </w:pPr>
      <w:r>
        <w:rPr>
          <w:rFonts w:ascii="Arial" w:hAnsi="Arial" w:eastAsia="Arial"/>
          <w:b/>
          <w:color w:val="C6A15B"/>
          <w:sz w:val="16"/>
        </w:rPr>
        <w:t>CHAPITRE 06</w:t>
      </w:r>
    </w:p>
    <w:p>
      <w:pPr>
        <w:pStyle w:val="Heading1"/>
        <w:pageBreakBefore w:val="0"/>
      </w:pPr>
      <w:r>
        <w:t>Score de qualification</w:t>
      </w:r>
    </w:p>
    <w:tbl>
      <w:tblPr>
        <w:tblStyle w:val="TableGrid"/>
        <w:tblW w:type="dxa" w:w="9500"/>
        <w:jc w:val="left"/>
        <w:tblLayout w:type="fixed"/>
        <w:tblLook w:firstColumn="1" w:firstRow="1" w:lastColumn="0" w:lastRow="0" w:noHBand="0" w:noVBand="1" w:val="04A0"/>
        <w:tblInd w:w="120" w:type="dxa"/>
      </w:tblPr>
      <w:tblGrid>
        <w:gridCol w:w="2900"/>
        <w:gridCol w:w="2200"/>
        <w:gridCol w:w="2200"/>
        <w:gridCol w:w="2200"/>
      </w:tblGrid>
      <w:tr>
        <w:trPr>
          <w:tblHeader w:val="true"/>
          <w:cantSplit/>
        </w:trPr>
        <w:tc>
          <w:tcPr>
            <w:tcW w:type="dxa" w:w="2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Critère</w:t>
            </w:r>
          </w:p>
        </w:tc>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0</w:t>
            </w:r>
          </w:p>
        </w:tc>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1</w:t>
            </w:r>
          </w:p>
        </w:tc>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2</w:t>
            </w:r>
          </w:p>
        </w:tc>
      </w:tr>
      <w:tr>
        <w:trPr>
          <w:cantSplit/>
        </w:trPr>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Problème</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Hypothétique</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Existant mais rare</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Fréquent et coûteux</w:t>
            </w:r>
          </w:p>
        </w:tc>
      </w:tr>
      <w:tr>
        <w:trPr>
          <w:cantSplit/>
        </w:trPr>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Workflow</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Flou</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Partiel</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Décrit de bout en bout</w:t>
            </w:r>
          </w:p>
        </w:tc>
      </w:tr>
      <w:tr>
        <w:trPr>
          <w:cantSplit/>
        </w:trPr>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Preuves</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Absentes</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Hétérogènes</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Identifiables et accessibles</w:t>
            </w:r>
          </w:p>
        </w:tc>
      </w:tr>
      <w:tr>
        <w:trPr>
          <w:cantSplit/>
        </w:trPr>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Décideur</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Absent</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Indirect</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Nommé et disponible</w:t>
            </w:r>
          </w:p>
        </w:tc>
      </w:tr>
      <w:tr>
        <w:trPr>
          <w:cantSplit/>
        </w:trPr>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Sécurité</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Fonds/données à risque</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Adaptation nécessaire</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Testnet et données minimisées</w:t>
            </w:r>
          </w:p>
        </w:tc>
      </w:tr>
      <w:tr>
        <w:trPr>
          <w:cantSplit/>
        </w:trPr>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Engagement</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Curiosité</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Intérêt verbal</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Temps et cas réservés</w:t>
            </w:r>
          </w:p>
        </w:tc>
      </w:tr>
      <w:tr>
        <w:trPr>
          <w:cantSplit/>
        </w:trPr>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Délai</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&gt; 3 mois</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1 à 3 mois</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Démarrage sous 30 jours</w:t>
            </w:r>
          </w:p>
        </w:tc>
      </w:tr>
    </w:tbl>
    <w:p>
      <w:pPr>
        <w:spacing w:after="40"/>
      </w:pPr>
    </w:p>
    <w:p>
      <w:pPr>
        <w:pStyle w:val="Heading2"/>
      </w:pPr>
      <w:r>
        <w:t>Lecture du score sur 14</w:t>
      </w:r>
    </w:p>
    <w:tbl>
      <w:tblPr>
        <w:tblStyle w:val="TableGrid"/>
        <w:tblW w:type="dxa" w:w="9500"/>
        <w:jc w:val="left"/>
        <w:tblLayout w:type="fixed"/>
        <w:tblLook w:firstColumn="1" w:firstRow="1" w:lastColumn="0" w:lastRow="0" w:noHBand="0" w:noVBand="1" w:val="04A0"/>
        <w:tblInd w:w="120" w:type="dxa"/>
      </w:tblPr>
      <w:tblGrid>
        <w:gridCol w:w="1800"/>
        <w:gridCol w:w="1800"/>
        <w:gridCol w:w="5900"/>
      </w:tblGrid>
      <w:tr>
        <w:trPr>
          <w:tblHeader w:val="true"/>
          <w:cantSplit/>
        </w:trPr>
        <w:tc>
          <w:tcPr>
            <w:tcW w:type="dxa" w:w="1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Score</w:t>
            </w:r>
          </w:p>
        </w:tc>
        <w:tc>
          <w:tcPr>
            <w:tcW w:type="dxa" w:w="1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Classe</w:t>
            </w:r>
          </w:p>
        </w:tc>
        <w:tc>
          <w:tcPr>
            <w:tcW w:type="dxa" w:w="5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Action</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11–14</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P1</w:t>
            </w:r>
          </w:p>
        </w:tc>
        <w:tc>
          <w:tcPr>
            <w:tcW w:type="dxa" w:w="5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Proposer le cadrage du pilote</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8–10</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P2</w:t>
            </w:r>
          </w:p>
        </w:tc>
        <w:tc>
          <w:tcPr>
            <w:tcW w:type="dxa" w:w="5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Clarifier les lacunes avant toute proposition</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5–7</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P3</w:t>
            </w:r>
          </w:p>
        </w:tc>
        <w:tc>
          <w:tcPr>
            <w:tcW w:type="dxa" w:w="5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Conserver en veille, ne pas investir davantage</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0–4</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Hors cible</w:t>
            </w:r>
          </w:p>
        </w:tc>
        <w:tc>
          <w:tcPr>
            <w:tcW w:type="dxa" w:w="5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Clôturer proprement</w:t>
            </w:r>
          </w:p>
        </w:tc>
      </w:tr>
    </w:tbl>
    <w:p>
      <w:pPr>
        <w:spacing w:after="40"/>
      </w:pPr>
    </w:p>
    <w:p>
      <w:pPr>
        <w:pStyle w:val="Heading2"/>
      </w:pPr>
      <w:r>
        <w:t>Critères éliminatoires</w:t>
      </w:r>
    </w:p>
    <w:p>
      <w:pPr>
        <w:numPr>
          <w:ilvl w:val="0"/>
          <w:numId w:val="22"/>
        </w:numPr>
        <w:spacing w:after="80" w:line="283" w:lineRule="auto"/>
      </w:pPr>
      <w:r>
        <w:rPr>
          <w:rFonts w:ascii="Arial" w:hAnsi="Arial" w:eastAsia="Arial"/>
          <w:color w:val="162019"/>
          <w:sz w:val="20"/>
        </w:rPr>
        <w:t>exigence de mainnet, de fonds ou d’actifs réels ;</w:t>
      </w:r>
    </w:p>
    <w:p>
      <w:pPr>
        <w:numPr>
          <w:ilvl w:val="0"/>
          <w:numId w:val="22"/>
        </w:numPr>
        <w:spacing w:after="80" w:line="283" w:lineRule="auto"/>
      </w:pPr>
      <w:r>
        <w:rPr>
          <w:rFonts w:ascii="Arial" w:hAnsi="Arial" w:eastAsia="Arial"/>
          <w:color w:val="162019"/>
          <w:sz w:val="20"/>
        </w:rPr>
        <w:t>attente d’une certification, d’un audit ou d’une conformité MiCA ;</w:t>
      </w:r>
    </w:p>
    <w:p>
      <w:pPr>
        <w:numPr>
          <w:ilvl w:val="0"/>
          <w:numId w:val="22"/>
        </w:numPr>
        <w:spacing w:after="80" w:line="283" w:lineRule="auto"/>
      </w:pPr>
      <w:r>
        <w:rPr>
          <w:rFonts w:ascii="Arial" w:hAnsi="Arial" w:eastAsia="Arial"/>
          <w:color w:val="162019"/>
          <w:sz w:val="20"/>
        </w:rPr>
        <w:t>objectif principal lié au token, au prix ou au rendement ;</w:t>
      </w:r>
    </w:p>
    <w:p>
      <w:pPr>
        <w:numPr>
          <w:ilvl w:val="0"/>
          <w:numId w:val="22"/>
        </w:numPr>
        <w:spacing w:after="80" w:line="283" w:lineRule="auto"/>
      </w:pPr>
      <w:r>
        <w:rPr>
          <w:rFonts w:ascii="Arial" w:hAnsi="Arial" w:eastAsia="Arial"/>
          <w:color w:val="162019"/>
          <w:sz w:val="20"/>
        </w:rPr>
        <w:t>absence de décideur métier ;</w:t>
      </w:r>
    </w:p>
    <w:p>
      <w:pPr>
        <w:numPr>
          <w:ilvl w:val="0"/>
          <w:numId w:val="22"/>
        </w:numPr>
        <w:spacing w:after="80" w:line="283" w:lineRule="auto"/>
      </w:pPr>
      <w:r>
        <w:rPr>
          <w:rFonts w:ascii="Arial" w:hAnsi="Arial" w:eastAsia="Arial"/>
          <w:color w:val="162019"/>
          <w:sz w:val="20"/>
        </w:rPr>
        <w:t>refus de documenter le workflow et les résultats ;</w:t>
      </w:r>
    </w:p>
    <w:p>
      <w:pPr>
        <w:numPr>
          <w:ilvl w:val="0"/>
          <w:numId w:val="22"/>
        </w:numPr>
        <w:spacing w:after="80" w:line="283" w:lineRule="auto"/>
      </w:pPr>
      <w:r>
        <w:rPr>
          <w:rFonts w:ascii="Arial" w:hAnsi="Arial" w:eastAsia="Arial"/>
          <w:color w:val="162019"/>
          <w:sz w:val="20"/>
        </w:rPr>
        <w:t>données impossibles à minimiser ou autoriser.</w:t>
      </w:r>
    </w:p>
    <w:p>
      <w:r>
        <w:br w:type="page"/>
      </w:r>
    </w:p>
    <w:p>
      <w:pPr>
        <w:keepNext/>
        <w:spacing w:before="440" w:after="100"/>
      </w:pPr>
      <w:r>
        <w:rPr>
          <w:rFonts w:ascii="Arial" w:hAnsi="Arial" w:eastAsia="Arial"/>
          <w:b/>
          <w:color w:val="C6A15B"/>
          <w:sz w:val="16"/>
        </w:rPr>
        <w:t>CHAPITRE 07</w:t>
      </w:r>
    </w:p>
    <w:p>
      <w:pPr>
        <w:pStyle w:val="Heading1"/>
        <w:pageBreakBefore w:val="0"/>
      </w:pPr>
      <w:r>
        <w:t>Messages d’approche</w:t>
      </w:r>
    </w:p>
    <w:p>
      <w:pPr>
        <w:pStyle w:val="Heading2"/>
      </w:pPr>
      <w:r>
        <w:t>Demande de connexion LinkedIn</w:t>
      </w:r>
    </w:p>
    <w:p>
      <w:pPr>
        <w:spacing w:before="100" w:after="180" w:line="283" w:lineRule="auto"/>
        <w:ind w:left="227" w:right="170"/>
        <w:shd w:fill="EDF3EF"/>
        <w:pBdr>
          <w:left w:val="single" w:sz="18" w:space="8" w:color="155A3E"/>
        </w:pBdr>
      </w:pPr>
      <w:r>
        <w:rPr>
          <w:rFonts w:ascii="Arial" w:hAnsi="Arial" w:eastAsia="Arial"/>
          <w:b/>
          <w:color w:val="155A3E"/>
          <w:sz w:val="16"/>
        </w:rPr>
        <w:t>TEXTE PRÊT À ADAPTER</w:t>
        <w:br/>
      </w:r>
      <w:r>
        <w:rPr>
          <w:rFonts w:ascii="Arial" w:hAnsi="Arial" w:eastAsia="Arial"/>
          <w:b w:val="0"/>
          <w:color w:val="162019"/>
          <w:sz w:val="20"/>
        </w:rPr>
        <w:t>Bonjour [Prénom], je travaille sur Pacturion, un projet consacré aux engagements vérifiables. Votre travail sur [workflow précis] m’intéresse. Je cherche quelques retours terrain, sans démarche liée à un token ni à un investissement. Ravi d’échanger.</w:t>
      </w:r>
    </w:p>
    <w:p>
      <w:pPr>
        <w:pStyle w:val="Heading2"/>
      </w:pPr>
      <w:r>
        <w:t>Premier message après connexion</w:t>
      </w:r>
    </w:p>
    <w:p>
      <w:pPr>
        <w:spacing w:before="100" w:after="180" w:line="283" w:lineRule="auto"/>
        <w:ind w:left="227" w:right="170"/>
        <w:shd w:fill="EDF3EF"/>
        <w:pBdr>
          <w:left w:val="single" w:sz="18" w:space="8" w:color="155A3E"/>
        </w:pBdr>
      </w:pPr>
      <w:r>
        <w:rPr>
          <w:rFonts w:ascii="Arial" w:hAnsi="Arial" w:eastAsia="Arial"/>
          <w:b/>
          <w:color w:val="155A3E"/>
          <w:sz w:val="16"/>
        </w:rPr>
        <w:t>TEXTE PRÊT À ADAPTER</w:t>
        <w:br/>
      </w:r>
      <w:r>
        <w:rPr>
          <w:rFonts w:ascii="Arial" w:hAnsi="Arial" w:eastAsia="Arial"/>
          <w:b w:val="0"/>
          <w:color w:val="162019"/>
          <w:sz w:val="20"/>
        </w:rPr>
        <w:t>Merci pour l’ajout. Pacturion teste une façon de figer à l’avance obligations, preuves et règles de décision, puis d’en rendre l’exécution traçable. Je cherche à comprendre comment vous gérez aujourd’hui [workflow observé]. Auriez-vous 25 minutes pour me dire où se trouvent réellement les ambiguïtés ou contestations ? Je ne vous demande pas de vous engager dans un pilote à ce stade.</w:t>
      </w:r>
    </w:p>
    <w:p>
      <w:pPr>
        <w:pStyle w:val="Heading2"/>
      </w:pPr>
      <w:r>
        <w:t>Email direct</w:t>
      </w:r>
    </w:p>
    <w:p>
      <w:pPr>
        <w:spacing w:after="80"/>
      </w:pPr>
      <w:r>
        <w:rPr>
          <w:rFonts w:ascii="Arial" w:hAnsi="Arial" w:eastAsia="Arial"/>
          <w:b/>
          <w:color w:val="155A3E"/>
          <w:sz w:val="19"/>
        </w:rPr>
        <w:t xml:space="preserve">Objet : </w:t>
      </w:r>
      <w:r>
        <w:rPr>
          <w:rFonts w:ascii="Arial" w:hAnsi="Arial" w:eastAsia="Arial"/>
          <w:color w:val="162019"/>
          <w:sz w:val="19"/>
        </w:rPr>
        <w:t>Question courte sur votre workflow de validation</w:t>
      </w:r>
    </w:p>
    <w:p>
      <w:pPr>
        <w:spacing w:before="100" w:after="180" w:line="283" w:lineRule="auto"/>
        <w:ind w:left="227" w:right="170"/>
        <w:shd w:fill="EDF3EF"/>
        <w:pBdr>
          <w:left w:val="single" w:sz="18" w:space="8" w:color="155A3E"/>
        </w:pBdr>
      </w:pPr>
      <w:r>
        <w:rPr>
          <w:rFonts w:ascii="Arial" w:hAnsi="Arial" w:eastAsia="Arial"/>
          <w:b/>
          <w:color w:val="155A3E"/>
          <w:sz w:val="16"/>
        </w:rPr>
        <w:t>TEXTE PRÊT À ADAPTER</w:t>
        <w:br/>
      </w:r>
      <w:r>
        <w:rPr>
          <w:rFonts w:ascii="Arial" w:hAnsi="Arial" w:eastAsia="Arial"/>
          <w:b w:val="0"/>
          <w:color w:val="162019"/>
          <w:sz w:val="20"/>
        </w:rPr>
        <w:t>Bonjour [Prénom],</w:t>
        <w:br/>
        <w:br/>
        <w:t>Je développe Pacturion, une infrastructure de recherche pour rendre certains engagements plus vérifiables. En regardant [élément précis], j’ai pensé à votre workflow de [workflow].</w:t>
        <w:br/>
        <w:br/>
        <w:t>Je cherche à comprendre comment vous définissez aujourd’hui les obligations, les preuves acceptables et la décision finale — et surtout où apparaissent les désaccords ou reprises manuelles.</w:t>
        <w:br/>
        <w:br/>
        <w:t>Seriez-vous disponible pour un échange de 25 minutes ? Il ne s’agit ni d’un produit en production, ni d’une offre de token, mais d’une qualification terrain avant un pilote testnet borné.</w:t>
        <w:br/>
        <w:br/>
        <w:t>Bien cordialement,</w:t>
        <w:br/>
        <w:t>Alexandre — Pacturion</w:t>
      </w:r>
    </w:p>
    <w:p>
      <w:pPr>
        <w:pStyle w:val="Heading2"/>
      </w:pPr>
      <w:r>
        <w:t>Demande d’introduction chaude</w:t>
      </w:r>
    </w:p>
    <w:p>
      <w:pPr>
        <w:spacing w:before="100" w:after="180" w:line="283" w:lineRule="auto"/>
        <w:ind w:left="227" w:right="170"/>
        <w:shd w:fill="EDF3EF"/>
        <w:pBdr>
          <w:left w:val="single" w:sz="18" w:space="8" w:color="155A3E"/>
        </w:pBdr>
      </w:pPr>
      <w:r>
        <w:rPr>
          <w:rFonts w:ascii="Arial" w:hAnsi="Arial" w:eastAsia="Arial"/>
          <w:b/>
          <w:color w:val="155A3E"/>
          <w:sz w:val="16"/>
        </w:rPr>
        <w:t>TEXTE PRÊT À ADAPTER</w:t>
        <w:br/>
      </w:r>
      <w:r>
        <w:rPr>
          <w:rFonts w:ascii="Arial" w:hAnsi="Arial" w:eastAsia="Arial"/>
          <w:b w:val="0"/>
          <w:color w:val="162019"/>
          <w:sz w:val="20"/>
        </w:rPr>
        <w:t>Bonjour [Prénom], je cherche une personne qui gère concrètement des jalons, preuves ou validations entre plusieurs acteurs. [Nom cible] semble correspondre. Accepterais-tu de nous mettre en relation avec une phrase simple : « Alexandre travaille sur Pacturion et cherche un retour terrain sur les workflows d’engagement vérifiable » ? Je m’occupe du reste.</w:t>
      </w:r>
    </w:p>
    <w:p>
      <w:r>
        <w:br w:type="page"/>
      </w:r>
    </w:p>
    <w:p>
      <w:pPr>
        <w:keepNext/>
        <w:spacing w:before="440" w:after="100"/>
      </w:pPr>
      <w:r>
        <w:rPr>
          <w:rFonts w:ascii="Arial" w:hAnsi="Arial" w:eastAsia="Arial"/>
          <w:b/>
          <w:color w:val="C6A15B"/>
          <w:sz w:val="16"/>
        </w:rPr>
        <w:t>CHAPITRE 08</w:t>
      </w:r>
    </w:p>
    <w:p>
      <w:pPr>
        <w:pStyle w:val="Heading1"/>
        <w:pageBreakBefore w:val="0"/>
      </w:pPr>
      <w:r>
        <w:t>Entretien de découverte en 25 minutes</w:t>
      </w:r>
    </w:p>
    <w:p>
      <w:pPr>
        <w:pStyle w:val="Heading2"/>
      </w:pPr>
      <w:r>
        <w:t>Objectif</w:t>
      </w:r>
    </w:p>
    <w:p>
      <w:pPr>
        <w:spacing w:after="140" w:line="307" w:lineRule="auto"/>
      </w:pPr>
      <w:r>
        <w:rPr>
          <w:rFonts w:ascii="Arial" w:hAnsi="Arial" w:eastAsia="Arial"/>
          <w:i w:val="0"/>
          <w:color w:val="162019"/>
          <w:sz w:val="20"/>
        </w:rPr>
        <w:t>Diagnostiquer le workflow et décider s’il mérite un cadrage. Ne pas dérouler une démonstration technique avant d’avoir établi le problème.</w:t>
      </w:r>
    </w:p>
    <w:tbl>
      <w:tblPr>
        <w:tblStyle w:val="TableGrid"/>
        <w:tblW w:type="dxa" w:w="9500"/>
        <w:jc w:val="left"/>
        <w:tblLayout w:type="fixed"/>
        <w:tblLook w:firstColumn="1" w:firstRow="1" w:lastColumn="0" w:lastRow="0" w:noHBand="0" w:noVBand="1" w:val="04A0"/>
        <w:tblInd w:w="120" w:type="dxa"/>
      </w:tblPr>
      <w:tblGrid>
        <w:gridCol w:w="1500"/>
        <w:gridCol w:w="2500"/>
        <w:gridCol w:w="5500"/>
      </w:tblGrid>
      <w:tr>
        <w:trPr>
          <w:tblHeader w:val="true"/>
          <w:cantSplit/>
        </w:trPr>
        <w:tc>
          <w:tcPr>
            <w:tcW w:type="dxa" w:w="1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Temps</w:t>
            </w:r>
          </w:p>
        </w:tc>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Séquence</w:t>
            </w:r>
          </w:p>
        </w:tc>
        <w:tc>
          <w:tcPr>
            <w:tcW w:type="dxa" w:w="5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Questions</w:t>
            </w:r>
          </w:p>
        </w:tc>
      </w:tr>
      <w:tr>
        <w:trPr>
          <w:cantSplit/>
        </w:trPr>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0–2 min</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Cadre</w:t>
            </w:r>
          </w:p>
        </w:tc>
        <w:tc>
          <w:tcPr>
            <w:tcW w:type="dxa" w:w="5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 Je veux comprendre votre fonctionnement actuel ; je ne vous demande pas de valider la solution. »</w:t>
            </w:r>
          </w:p>
        </w:tc>
      </w:tr>
      <w:tr>
        <w:trPr>
          <w:cantSplit/>
        </w:trPr>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2–8 min</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Cas récent</w:t>
            </w:r>
          </w:p>
        </w:tc>
        <w:tc>
          <w:tcPr>
            <w:tcW w:type="dxa" w:w="5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 Racontez-moi la dernière fois où un engagement ou livrable a dû être vérifié. »</w:t>
            </w:r>
          </w:p>
        </w:tc>
      </w:tr>
      <w:tr>
        <w:trPr>
          <w:cantSplit/>
        </w:trPr>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8–14 min</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Preuves et décision</w:t>
            </w:r>
          </w:p>
        </w:tc>
        <w:tc>
          <w:tcPr>
            <w:tcW w:type="dxa" w:w="5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 Qui décide ? Sur quelles sources ? Que se passe-t-il en cas de désaccord ? »</w:t>
            </w:r>
          </w:p>
        </w:tc>
      </w:tr>
      <w:tr>
        <w:trPr>
          <w:cantSplit/>
        </w:trPr>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14–18 min</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Impact</w:t>
            </w:r>
          </w:p>
        </w:tc>
        <w:tc>
          <w:tcPr>
            <w:tcW w:type="dxa" w:w="5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 Combien de temps, de reprises ou de risques cela crée-t-il ? »</w:t>
            </w:r>
          </w:p>
        </w:tc>
      </w:tr>
      <w:tr>
        <w:trPr>
          <w:cantSplit/>
        </w:trPr>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18–22 min</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Testabilité</w:t>
            </w:r>
          </w:p>
        </w:tc>
        <w:tc>
          <w:tcPr>
            <w:tcW w:type="dxa" w:w="5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 Pourrait-on isoler cinq cas sans fonds réels ni données sensibles ? »</w:t>
            </w:r>
          </w:p>
        </w:tc>
      </w:tr>
      <w:tr>
        <w:trPr>
          <w:cantSplit/>
        </w:trPr>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22–25 min</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Suite</w:t>
            </w:r>
          </w:p>
        </w:tc>
        <w:tc>
          <w:tcPr>
            <w:tcW w:type="dxa" w:w="5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Résumer, noter les inconnues et proposer ou non un cadrage</w:t>
            </w:r>
          </w:p>
        </w:tc>
      </w:tr>
    </w:tbl>
    <w:p>
      <w:pPr>
        <w:spacing w:after="40"/>
      </w:pPr>
    </w:p>
    <w:p>
      <w:pPr>
        <w:pStyle w:val="Heading2"/>
      </w:pPr>
      <w:r>
        <w:t>Questions obligatoires</w:t>
      </w:r>
    </w:p>
    <w:p>
      <w:pPr>
        <w:numPr>
          <w:ilvl w:val="0"/>
          <w:numId w:val="23"/>
        </w:numPr>
        <w:spacing w:after="80" w:line="283" w:lineRule="auto"/>
      </w:pPr>
      <w:r>
        <w:rPr>
          <w:rFonts w:ascii="Arial" w:hAnsi="Arial" w:eastAsia="Arial"/>
          <w:color w:val="162019"/>
          <w:sz w:val="20"/>
        </w:rPr>
        <w:t>Quel événement déclenche le workflow ?</w:t>
      </w:r>
    </w:p>
    <w:p>
      <w:pPr>
        <w:numPr>
          <w:ilvl w:val="0"/>
          <w:numId w:val="23"/>
        </w:numPr>
        <w:spacing w:after="80" w:line="283" w:lineRule="auto"/>
      </w:pPr>
      <w:r>
        <w:rPr>
          <w:rFonts w:ascii="Arial" w:hAnsi="Arial" w:eastAsia="Arial"/>
          <w:color w:val="162019"/>
          <w:sz w:val="20"/>
        </w:rPr>
        <w:t>Quelles obligations sont explicites et lesquelles restent implicites ?</w:t>
      </w:r>
    </w:p>
    <w:p>
      <w:pPr>
        <w:numPr>
          <w:ilvl w:val="0"/>
          <w:numId w:val="23"/>
        </w:numPr>
        <w:spacing w:after="80" w:line="283" w:lineRule="auto"/>
      </w:pPr>
      <w:r>
        <w:rPr>
          <w:rFonts w:ascii="Arial" w:hAnsi="Arial" w:eastAsia="Arial"/>
          <w:color w:val="162019"/>
          <w:sz w:val="20"/>
        </w:rPr>
        <w:t>Qui peut fournir, accepter, contester ou remplacer une preuve ?</w:t>
      </w:r>
    </w:p>
    <w:p>
      <w:pPr>
        <w:numPr>
          <w:ilvl w:val="0"/>
          <w:numId w:val="23"/>
        </w:numPr>
        <w:spacing w:after="80" w:line="283" w:lineRule="auto"/>
      </w:pPr>
      <w:r>
        <w:rPr>
          <w:rFonts w:ascii="Arial" w:hAnsi="Arial" w:eastAsia="Arial"/>
          <w:color w:val="162019"/>
          <w:sz w:val="20"/>
        </w:rPr>
        <w:t>Quelle décision est prise et par qui ?</w:t>
      </w:r>
    </w:p>
    <w:p>
      <w:pPr>
        <w:numPr>
          <w:ilvl w:val="0"/>
          <w:numId w:val="23"/>
        </w:numPr>
        <w:spacing w:after="80" w:line="283" w:lineRule="auto"/>
      </w:pPr>
      <w:r>
        <w:rPr>
          <w:rFonts w:ascii="Arial" w:hAnsi="Arial" w:eastAsia="Arial"/>
          <w:color w:val="162019"/>
          <w:sz w:val="20"/>
        </w:rPr>
        <w:t>Quel est le coût d’une erreur, d’un retard ou d’une contestation ?</w:t>
      </w:r>
    </w:p>
    <w:p>
      <w:pPr>
        <w:numPr>
          <w:ilvl w:val="0"/>
          <w:numId w:val="23"/>
        </w:numPr>
        <w:spacing w:after="80" w:line="283" w:lineRule="auto"/>
      </w:pPr>
      <w:r>
        <w:rPr>
          <w:rFonts w:ascii="Arial" w:hAnsi="Arial" w:eastAsia="Arial"/>
          <w:color w:val="162019"/>
          <w:sz w:val="20"/>
        </w:rPr>
        <w:t>Quel cas peut être testé en environnement simulé ?</w:t>
      </w:r>
    </w:p>
    <w:p>
      <w:pPr>
        <w:numPr>
          <w:ilvl w:val="0"/>
          <w:numId w:val="23"/>
        </w:numPr>
        <w:spacing w:after="80" w:line="283" w:lineRule="auto"/>
      </w:pPr>
      <w:r>
        <w:rPr>
          <w:rFonts w:ascii="Arial" w:hAnsi="Arial" w:eastAsia="Arial"/>
          <w:color w:val="162019"/>
          <w:sz w:val="20"/>
        </w:rPr>
        <w:t>Qui doit signer pour que le pilote démarre ?</w:t>
      </w:r>
    </w:p>
    <w:p>
      <w:pPr>
        <w:pStyle w:val="Heading2"/>
      </w:pPr>
      <w:r>
        <w:t>Signaux à ne pas surinterpréter</w:t>
      </w:r>
    </w:p>
    <w:tbl>
      <w:tblPr>
        <w:tblStyle w:val="TableGrid"/>
        <w:tblW w:type="dxa" w:w="9500"/>
        <w:jc w:val="left"/>
        <w:tblLayout w:type="fixed"/>
        <w:tblLook w:firstColumn="1" w:firstRow="1" w:lastColumn="0" w:lastRow="0" w:noHBand="0" w:noVBand="1" w:val="04A0"/>
        <w:tblInd w:w="120" w:type="dxa"/>
      </w:tblPr>
      <w:tblGrid>
        <w:gridCol w:w="4200"/>
        <w:gridCol w:w="5300"/>
      </w:tblGrid>
      <w:tr>
        <w:trPr>
          <w:tblHeader w:val="true"/>
          <w:cantSplit/>
        </w:trPr>
        <w:tc>
          <w:tcPr>
            <w:tcW w:type="dxa" w:w="4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Phrase entendue</w:t>
            </w:r>
          </w:p>
        </w:tc>
        <w:tc>
          <w:tcPr>
            <w:tcW w:type="dxa" w:w="53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Ce qu’elle ne prouve pas</w:t>
            </w:r>
          </w:p>
        </w:tc>
      </w:tr>
      <w:tr>
        <w:trPr>
          <w:cantSplit/>
        </w:trPr>
        <w:tc>
          <w:tcPr>
            <w:tcW w:type="dxa" w:w="4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 C’est intéressant »</w:t>
            </w:r>
          </w:p>
        </w:tc>
        <w:tc>
          <w:tcPr>
            <w:tcW w:type="dxa" w:w="5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Aucune volonté de tester ou de payer</w:t>
            </w:r>
          </w:p>
        </w:tc>
      </w:tr>
      <w:tr>
        <w:trPr>
          <w:cantSplit/>
        </w:trPr>
        <w:tc>
          <w:tcPr>
            <w:tcW w:type="dxa" w:w="4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 Envoyez-moi une présentation »</w:t>
            </w:r>
          </w:p>
        </w:tc>
        <w:tc>
          <w:tcPr>
            <w:tcW w:type="dxa" w:w="5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Aucun problème prioritaire</w:t>
            </w:r>
          </w:p>
        </w:tc>
      </w:tr>
      <w:tr>
        <w:trPr>
          <w:cantSplit/>
        </w:trPr>
        <w:tc>
          <w:tcPr>
            <w:tcW w:type="dxa" w:w="4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 La blockchain pourrait aider »</w:t>
            </w:r>
          </w:p>
        </w:tc>
        <w:tc>
          <w:tcPr>
            <w:tcW w:type="dxa" w:w="5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Aucune adéquation au workflow</w:t>
            </w:r>
          </w:p>
        </w:tc>
      </w:tr>
      <w:tr>
        <w:trPr>
          <w:cantSplit/>
        </w:trPr>
        <w:tc>
          <w:tcPr>
            <w:tcW w:type="dxa" w:w="4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 On en reparle plus tard »</w:t>
            </w:r>
          </w:p>
        </w:tc>
        <w:tc>
          <w:tcPr>
            <w:tcW w:type="dxa" w:w="5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Aucun calendrier</w:t>
            </w:r>
          </w:p>
        </w:tc>
      </w:tr>
    </w:tbl>
    <w:p>
      <w:pPr>
        <w:spacing w:after="40"/>
      </w:pPr>
    </w:p>
    <w:p>
      <w:r>
        <w:br w:type="page"/>
      </w:r>
    </w:p>
    <w:p>
      <w:pPr>
        <w:keepNext/>
        <w:spacing w:before="440" w:after="100"/>
      </w:pPr>
      <w:r>
        <w:rPr>
          <w:rFonts w:ascii="Arial" w:hAnsi="Arial" w:eastAsia="Arial"/>
          <w:b/>
          <w:color w:val="C6A15B"/>
          <w:sz w:val="16"/>
        </w:rPr>
        <w:t>CHAPITRE 09</w:t>
      </w:r>
    </w:p>
    <w:p>
      <w:pPr>
        <w:pStyle w:val="Heading1"/>
        <w:pageBreakBefore w:val="0"/>
      </w:pPr>
      <w:r>
        <w:t>Présentation du pilote</w:t>
      </w:r>
    </w:p>
    <w:p>
      <w:pPr>
        <w:pStyle w:val="Heading2"/>
      </w:pPr>
      <w:r>
        <w:t>Pitch de 90 secondes</w:t>
      </w:r>
    </w:p>
    <w:p>
      <w:pPr>
        <w:spacing w:before="100" w:after="180" w:line="283" w:lineRule="auto"/>
        <w:ind w:left="227" w:right="170"/>
        <w:shd w:fill="EDF3EF"/>
        <w:pBdr>
          <w:left w:val="single" w:sz="18" w:space="8" w:color="155A3E"/>
        </w:pBdr>
      </w:pPr>
      <w:r>
        <w:rPr>
          <w:rFonts w:ascii="Arial" w:hAnsi="Arial" w:eastAsia="Arial"/>
          <w:b/>
          <w:color w:val="155A3E"/>
          <w:sz w:val="16"/>
        </w:rPr>
        <w:t>SCRIPT</w:t>
        <w:br/>
      </w:r>
      <w:r>
        <w:rPr>
          <w:rFonts w:ascii="Arial" w:hAnsi="Arial" w:eastAsia="Arial"/>
          <w:b w:val="0"/>
          <w:color w:val="162019"/>
          <w:sz w:val="20"/>
        </w:rPr>
        <w:t>Vous m’avez décrit [problème] dans un workflow où [acteurs] doivent vérifier [engagement] à partir de [preuves]. Pacturion propose de figer ces règles avant l’exécution, puis de produire une chaîne traçable jusqu’à la décision humaine. Je vous propose de le tester sur cinq cas bornés, pendant quatre semaines, sur Base Sepolia, sans fonds réels et sans effet de production. À la fin, nous décidons ensemble si l’hypothèse mérite d’être poursuivie — le résultat peut être un GO, un PIVOT ou un NO-GO.</w:t>
      </w:r>
    </w:p>
    <w:p>
      <w:pPr>
        <w:pStyle w:val="Heading2"/>
      </w:pPr>
      <w:r>
        <w:t>Engagement réciproque</w:t>
      </w:r>
    </w:p>
    <w:tbl>
      <w:tblPr>
        <w:tblStyle w:val="TableGrid"/>
        <w:tblW w:type="dxa" w:w="9500"/>
        <w:jc w:val="left"/>
        <w:tblLayout w:type="fixed"/>
        <w:tblLook w:firstColumn="1" w:firstRow="1" w:lastColumn="0" w:lastRow="0" w:noHBand="0" w:noVBand="1" w:val="04A0"/>
        <w:tblInd w:w="120" w:type="dxa"/>
      </w:tblPr>
      <w:tblGrid>
        <w:gridCol w:w="4750"/>
        <w:gridCol w:w="4750"/>
      </w:tblGrid>
      <w:tr>
        <w:trPr>
          <w:tblHeader w:val="true"/>
          <w:cantSplit/>
        </w:trPr>
        <w:tc>
          <w:tcPr>
            <w:tcW w:type="dxa" w:w="47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Pacturion</w:t>
            </w:r>
          </w:p>
        </w:tc>
        <w:tc>
          <w:tcPr>
            <w:tcW w:type="dxa" w:w="47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Partenaire</w:t>
            </w:r>
          </w:p>
        </w:tc>
      </w:tr>
      <w:tr>
        <w:trPr>
          <w:cantSplit/>
        </w:trPr>
        <w:tc>
          <w:tcPr>
            <w:tcW w:type="dxa" w:w="4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Cadre, configuration et protocole</w:t>
            </w:r>
          </w:p>
        </w:tc>
        <w:tc>
          <w:tcPr>
            <w:tcW w:type="dxa" w:w="4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Workflow, décideur et cinq cas</w:t>
            </w:r>
          </w:p>
        </w:tc>
      </w:tr>
      <w:tr>
        <w:trPr>
          <w:cantSplit/>
        </w:trPr>
        <w:tc>
          <w:tcPr>
            <w:tcW w:type="dxa" w:w="47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Exécution testnet et support</w:t>
            </w:r>
          </w:p>
        </w:tc>
        <w:tc>
          <w:tcPr>
            <w:tcW w:type="dxa" w:w="47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Deux à quatre heures cumulées</w:t>
            </w:r>
          </w:p>
        </w:tc>
      </w:tr>
      <w:tr>
        <w:trPr>
          <w:cantSplit/>
        </w:trPr>
        <w:tc>
          <w:tcPr>
            <w:tcW w:type="dxa" w:w="4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Journalisation et dossier de preuve</w:t>
            </w:r>
          </w:p>
        </w:tc>
        <w:tc>
          <w:tcPr>
            <w:tcW w:type="dxa" w:w="4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Retour factuel et validation des constats</w:t>
            </w:r>
          </w:p>
        </w:tc>
      </w:tr>
      <w:tr>
        <w:trPr>
          <w:cantSplit/>
        </w:trPr>
        <w:tc>
          <w:tcPr>
            <w:tcW w:type="dxa" w:w="47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Restitution et recommandations</w:t>
            </w:r>
          </w:p>
        </w:tc>
        <w:tc>
          <w:tcPr>
            <w:tcW w:type="dxa" w:w="47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Décision écrite sur la suite</w:t>
            </w:r>
          </w:p>
        </w:tc>
      </w:tr>
      <w:tr>
        <w:trPr>
          <w:cantSplit/>
        </w:trPr>
        <w:tc>
          <w:tcPr>
            <w:tcW w:type="dxa" w:w="4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Confidentialité selon accord</w:t>
            </w:r>
          </w:p>
        </w:tc>
        <w:tc>
          <w:tcPr>
            <w:tcW w:type="dxa" w:w="4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Aucune donnée non autorisée</w:t>
            </w:r>
          </w:p>
        </w:tc>
      </w:tr>
    </w:tbl>
    <w:p>
      <w:pPr>
        <w:spacing w:after="40"/>
      </w:pPr>
    </w:p>
    <w:p>
      <w:pPr>
        <w:pStyle w:val="Heading2"/>
      </w:pPr>
      <w:r>
        <w:t>Prochain pas unique</w:t>
      </w:r>
    </w:p>
    <w:p>
      <w:pPr>
        <w:spacing w:after="140" w:line="307" w:lineRule="auto"/>
      </w:pPr>
      <w:r>
        <w:rPr>
          <w:rFonts w:ascii="Arial" w:hAnsi="Arial" w:eastAsia="Arial"/>
          <w:i w:val="0"/>
          <w:color w:val="162019"/>
          <w:sz w:val="20"/>
        </w:rPr>
        <w:t>Ne pas terminer par « je vous envoie des informations ». Proposer une action datée : réunion de cadrage de 45 minutes avec le décideur, à laquelle seront gelés le cas, les données autorisées, les critères et le calendrier.</w:t>
      </w:r>
    </w:p>
    <w:p>
      <w:pPr>
        <w:spacing w:before="100" w:after="180" w:line="283" w:lineRule="auto"/>
        <w:ind w:left="227" w:right="170"/>
        <w:shd w:fill="F6F0E3"/>
        <w:pBdr>
          <w:left w:val="single" w:sz="18" w:space="8" w:color="C6A15B"/>
        </w:pBdr>
      </w:pPr>
      <w:r>
        <w:rPr>
          <w:rFonts w:ascii="Arial" w:hAnsi="Arial" w:eastAsia="Arial"/>
          <w:b/>
          <w:color w:val="C6A15B"/>
          <w:sz w:val="16"/>
        </w:rPr>
        <w:t>QUESTION DE CLÔTURE</w:t>
        <w:br/>
      </w:r>
      <w:r>
        <w:rPr>
          <w:rFonts w:ascii="Arial" w:hAnsi="Arial" w:eastAsia="Arial"/>
          <w:b w:val="0"/>
          <w:color w:val="162019"/>
          <w:sz w:val="20"/>
        </w:rPr>
        <w:t>« Le cas semble compatible. Êtes-vous d’accord pour organiser un cadrage de 45 minutes avec [décideur] afin de décider formellement si nous lançons ou non le pilote ? »</w:t>
      </w:r>
    </w:p>
    <w:p>
      <w:r>
        <w:br w:type="page"/>
      </w:r>
    </w:p>
    <w:p>
      <w:pPr>
        <w:keepNext/>
        <w:spacing w:before="440" w:after="100"/>
      </w:pPr>
      <w:r>
        <w:rPr>
          <w:rFonts w:ascii="Arial" w:hAnsi="Arial" w:eastAsia="Arial"/>
          <w:b/>
          <w:color w:val="C6A15B"/>
          <w:sz w:val="16"/>
        </w:rPr>
        <w:t>CHAPITRE 10</w:t>
      </w:r>
    </w:p>
    <w:p>
      <w:pPr>
        <w:pStyle w:val="Heading1"/>
        <w:pageBreakBefore w:val="0"/>
      </w:pPr>
      <w:r>
        <w:t>Réponses aux objections</w:t>
      </w:r>
    </w:p>
    <w:tbl>
      <w:tblPr>
        <w:tblStyle w:val="TableGrid"/>
        <w:tblW w:type="dxa" w:w="9500"/>
        <w:jc w:val="left"/>
        <w:tblLayout w:type="fixed"/>
        <w:tblLook w:firstColumn="1" w:firstRow="1" w:lastColumn="0" w:lastRow="0" w:noHBand="0" w:noVBand="1" w:val="04A0"/>
        <w:tblInd w:w="120" w:type="dxa"/>
      </w:tblPr>
      <w:tblGrid>
        <w:gridCol w:w="2800"/>
        <w:gridCol w:w="4700"/>
        <w:gridCol w:w="2000"/>
      </w:tblGrid>
      <w:tr>
        <w:trPr>
          <w:tblHeader w:val="true"/>
          <w:cantSplit/>
        </w:trPr>
        <w:tc>
          <w:tcPr>
            <w:tcW w:type="dxa" w:w="2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Objection</w:t>
            </w:r>
          </w:p>
        </w:tc>
        <w:tc>
          <w:tcPr>
            <w:tcW w:type="dxa" w:w="47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Réponse recommandée</w:t>
            </w:r>
          </w:p>
        </w:tc>
        <w:tc>
          <w:tcPr>
            <w:tcW w:type="dxa" w:w="2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Limite</w:t>
            </w:r>
          </w:p>
        </w:tc>
      </w:tr>
      <w:tr>
        <w:trPr>
          <w:cantSplit/>
        </w:trPr>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 Votre produit est-il déjà en production ? »</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Non. Le Release Candidate a été validé en interne ; nous préparons précisément la validation externe.</w:t>
            </w:r>
          </w:p>
        </w:tc>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Ne jamais laisser entendre le contraire</w:t>
            </w:r>
          </w:p>
        </w:tc>
      </w:tr>
      <w:tr>
        <w:trPr>
          <w:cantSplit/>
        </w:trPr>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 Est-ce audité ? »</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Non, l’audit indépendant n’est pas encore réalisé. Le pilote reste testnet et sans fonds.</w:t>
            </w:r>
          </w:p>
        </w:tc>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Ne pas employer « sécurisé » comme absolu</w:t>
            </w:r>
          </w:p>
        </w:tc>
      </w:tr>
      <w:tr>
        <w:trPr>
          <w:cantSplit/>
        </w:trPr>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 Êtes-vous conforme MiCA ? »</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Nous ne revendiquons pas ce statut. Le pilote est tokenless et ne fournit aucun service sur crypto-actifs.</w:t>
            </w:r>
          </w:p>
        </w:tc>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Toute évolution exige un avis juridique</w:t>
            </w:r>
          </w:p>
        </w:tc>
      </w:tr>
      <w:tr>
        <w:trPr>
          <w:cantSplit/>
        </w:trPr>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 Pourquoi la blockchain ? »</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Nous testons si un registre partagé et traçable apporte une valeur mesurable à votre workflow ; si ce n’est pas le cas, le pilote doit le montrer.</w:t>
            </w:r>
          </w:p>
        </w:tc>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Ne pas vendre la technologie avant le problème</w:t>
            </w:r>
          </w:p>
        </w:tc>
      </w:tr>
      <w:tr>
        <w:trPr>
          <w:cantSplit/>
        </w:trPr>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 Que gagne-t-on ? »</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Une cartographie, un test contrôlé et un dossier de résultats. Aucun gain financier ou opérationnel n’est garanti.</w:t>
            </w:r>
          </w:p>
        </w:tc>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Ne pas inventer un ROI</w:t>
            </w:r>
          </w:p>
        </w:tc>
      </w:tr>
      <w:tr>
        <w:trPr>
          <w:cantSplit/>
        </w:trPr>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 Combien cela coûte ? »</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Le premier pilote est proposé sans frais de licence ; chaque partie couvre ses coûts et engage du temps défini.</w:t>
            </w:r>
          </w:p>
        </w:tc>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Confirmer l’entité contractante avant accord</w:t>
            </w:r>
          </w:p>
        </w:tc>
      </w:tr>
      <w:tr>
        <w:trPr>
          <w:cantSplit/>
        </w:trPr>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 Peut-on utiliser de vraies données ? »</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Seulement si elles sont nécessaires, autorisées et protégées ; sinon nous utilisons des données pseudonymisées ou synthétiques.</w:t>
            </w:r>
          </w:p>
        </w:tc>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Les données sensibles peuvent rendre le cas inéligible</w:t>
            </w:r>
          </w:p>
        </w:tc>
      </w:tr>
      <w:tr>
        <w:trPr>
          <w:cantSplit/>
        </w:trPr>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 Peut-on communiquer dessus ? »</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Uniquement après accord écrit sur le nom, les chiffres, les citations et les limites.</w:t>
            </w:r>
          </w:p>
        </w:tc>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Jamais de logo ou terme partenaire sans accord</w:t>
            </w:r>
          </w:p>
        </w:tc>
      </w:tr>
    </w:tbl>
    <w:p>
      <w:pPr>
        <w:spacing w:after="40"/>
      </w:pPr>
    </w:p>
    <w:p>
      <w:pPr>
        <w:pStyle w:val="Heading2"/>
      </w:pPr>
      <w:r>
        <w:t>Réponse en cas de refus</w:t>
      </w:r>
    </w:p>
    <w:p>
      <w:pPr>
        <w:spacing w:after="140" w:line="307" w:lineRule="auto"/>
      </w:pPr>
      <w:r>
        <w:rPr>
          <w:rFonts w:ascii="Arial" w:hAnsi="Arial" w:eastAsia="Arial"/>
          <w:i w:val="0"/>
          <w:color w:val="162019"/>
          <w:sz w:val="20"/>
        </w:rPr>
        <w:t>Remercier, demander une seule raison principale et clôturer. Ne pas débattre. Un refus bien documenté est une donnée de validation ; une relance insistante détruit la confiance.</w:t>
      </w:r>
    </w:p>
    <w:p>
      <w:r>
        <w:br w:type="page"/>
      </w:r>
    </w:p>
    <w:p>
      <w:pPr>
        <w:keepNext/>
        <w:spacing w:before="440" w:after="100"/>
      </w:pPr>
      <w:r>
        <w:rPr>
          <w:rFonts w:ascii="Arial" w:hAnsi="Arial" w:eastAsia="Arial"/>
          <w:b/>
          <w:color w:val="C6A15B"/>
          <w:sz w:val="16"/>
        </w:rPr>
        <w:t>CHAPITRE 11</w:t>
      </w:r>
    </w:p>
    <w:p>
      <w:pPr>
        <w:pStyle w:val="Heading1"/>
        <w:pageBreakBefore w:val="0"/>
      </w:pPr>
      <w:r>
        <w:t>Parcours jusqu’à l’accord</w:t>
      </w:r>
    </w:p>
    <w:p>
      <w:pPr>
        <w:numPr>
          <w:ilvl w:val="0"/>
          <w:numId w:val="24"/>
        </w:numPr>
        <w:spacing w:after="80" w:line="283" w:lineRule="auto"/>
      </w:pPr>
      <w:r>
        <w:rPr>
          <w:rFonts w:ascii="Arial" w:hAnsi="Arial" w:eastAsia="Arial"/>
          <w:color w:val="162019"/>
          <w:sz w:val="20"/>
        </w:rPr>
        <w:t>Qualifier le compte et personnaliser l’approche.</w:t>
      </w:r>
    </w:p>
    <w:p>
      <w:pPr>
        <w:numPr>
          <w:ilvl w:val="0"/>
          <w:numId w:val="24"/>
        </w:numPr>
        <w:spacing w:after="80" w:line="283" w:lineRule="auto"/>
      </w:pPr>
      <w:r>
        <w:rPr>
          <w:rFonts w:ascii="Arial" w:hAnsi="Arial" w:eastAsia="Arial"/>
          <w:color w:val="162019"/>
          <w:sz w:val="20"/>
        </w:rPr>
        <w:t>Obtenir un entretien de découverte de 25 minutes.</w:t>
      </w:r>
    </w:p>
    <w:p>
      <w:pPr>
        <w:numPr>
          <w:ilvl w:val="0"/>
          <w:numId w:val="24"/>
        </w:numPr>
        <w:spacing w:after="80" w:line="283" w:lineRule="auto"/>
      </w:pPr>
      <w:r>
        <w:rPr>
          <w:rFonts w:ascii="Arial" w:hAnsi="Arial" w:eastAsia="Arial"/>
          <w:color w:val="162019"/>
          <w:sz w:val="20"/>
        </w:rPr>
        <w:t>Noter le score de qualification et les critères éliminatoires.</w:t>
      </w:r>
    </w:p>
    <w:p>
      <w:pPr>
        <w:numPr>
          <w:ilvl w:val="0"/>
          <w:numId w:val="24"/>
        </w:numPr>
        <w:spacing w:after="80" w:line="283" w:lineRule="auto"/>
      </w:pPr>
      <w:r>
        <w:rPr>
          <w:rFonts w:ascii="Arial" w:hAnsi="Arial" w:eastAsia="Arial"/>
          <w:color w:val="162019"/>
          <w:sz w:val="20"/>
        </w:rPr>
        <w:t>Envoyer le brief partenaire uniquement si le score atteint P1 ou P2.</w:t>
      </w:r>
    </w:p>
    <w:p>
      <w:pPr>
        <w:numPr>
          <w:ilvl w:val="0"/>
          <w:numId w:val="24"/>
        </w:numPr>
        <w:spacing w:after="80" w:line="283" w:lineRule="auto"/>
      </w:pPr>
      <w:r>
        <w:rPr>
          <w:rFonts w:ascii="Arial" w:hAnsi="Arial" w:eastAsia="Arial"/>
          <w:color w:val="162019"/>
          <w:sz w:val="20"/>
        </w:rPr>
        <w:t>Organiser un cadrage de 45 minutes avec le décideur.</w:t>
      </w:r>
    </w:p>
    <w:p>
      <w:pPr>
        <w:numPr>
          <w:ilvl w:val="0"/>
          <w:numId w:val="24"/>
        </w:numPr>
        <w:spacing w:after="80" w:line="283" w:lineRule="auto"/>
      </w:pPr>
      <w:r>
        <w:rPr>
          <w:rFonts w:ascii="Arial" w:hAnsi="Arial" w:eastAsia="Arial"/>
          <w:color w:val="162019"/>
          <w:sz w:val="20"/>
        </w:rPr>
        <w:t>Compléter la fiche participant et le protocole de pilote externe.</w:t>
      </w:r>
    </w:p>
    <w:p>
      <w:pPr>
        <w:numPr>
          <w:ilvl w:val="0"/>
          <w:numId w:val="24"/>
        </w:numPr>
        <w:spacing w:after="80" w:line="283" w:lineRule="auto"/>
      </w:pPr>
      <w:r>
        <w:rPr>
          <w:rFonts w:ascii="Arial" w:hAnsi="Arial" w:eastAsia="Arial"/>
          <w:color w:val="162019"/>
          <w:sz w:val="20"/>
        </w:rPr>
        <w:t>Définir la confidentialité, les données, la propriété et la communication.</w:t>
      </w:r>
    </w:p>
    <w:p>
      <w:pPr>
        <w:numPr>
          <w:ilvl w:val="0"/>
          <w:numId w:val="24"/>
        </w:numPr>
        <w:spacing w:after="80" w:line="283" w:lineRule="auto"/>
      </w:pPr>
      <w:r>
        <w:rPr>
          <w:rFonts w:ascii="Arial" w:hAnsi="Arial" w:eastAsia="Arial"/>
          <w:color w:val="162019"/>
          <w:sz w:val="20"/>
        </w:rPr>
        <w:t>Faire approuver G0 à G5 et le visa de lancement.</w:t>
      </w:r>
    </w:p>
    <w:p>
      <w:pPr>
        <w:numPr>
          <w:ilvl w:val="0"/>
          <w:numId w:val="24"/>
        </w:numPr>
        <w:spacing w:after="80" w:line="283" w:lineRule="auto"/>
      </w:pPr>
      <w:r>
        <w:rPr>
          <w:rFonts w:ascii="Arial" w:hAnsi="Arial" w:eastAsia="Arial"/>
          <w:color w:val="162019"/>
          <w:sz w:val="20"/>
        </w:rPr>
        <w:t>Lancer seulement lorsque toutes les preuves d’entrée sont présentes.</w:t>
      </w:r>
    </w:p>
    <w:p>
      <w:pPr>
        <w:pStyle w:val="Heading2"/>
      </w:pPr>
      <w:r>
        <w:t>Documents à remettre</w:t>
      </w:r>
    </w:p>
    <w:tbl>
      <w:tblPr>
        <w:tblStyle w:val="TableGrid"/>
        <w:tblW w:type="dxa" w:w="9600"/>
        <w:jc w:val="left"/>
        <w:tblLayout w:type="fixed"/>
        <w:tblLook w:firstColumn="1" w:firstRow="1" w:lastColumn="0" w:lastRow="0" w:noHBand="0" w:noVBand="1" w:val="04A0"/>
        <w:tblInd w:w="120" w:type="dxa"/>
      </w:tblPr>
      <w:tblGrid>
        <w:gridCol w:w="2300"/>
        <w:gridCol w:w="4300"/>
        <w:gridCol w:w="3000"/>
      </w:tblGrid>
      <w:tr>
        <w:trPr>
          <w:tblHeader w:val="true"/>
          <w:cantSplit/>
        </w:trPr>
        <w:tc>
          <w:tcPr>
            <w:tcW w:type="dxa" w:w="2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Moment</w:t>
            </w:r>
          </w:p>
        </w:tc>
        <w:tc>
          <w:tcPr>
            <w:tcW w:type="dxa" w:w="4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Document</w:t>
            </w:r>
          </w:p>
        </w:tc>
        <w:tc>
          <w:tcPr>
            <w:tcW w:type="dxa" w:w="3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Version</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Après qualification</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Brief partenaire</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Extrait du chapitre 04</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Avant cadrage</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Présentation synthétique Pacturion</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créer si nécessaire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Après cadrage</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Protocole de pilote externe</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V1.0 personnalisé</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Avant lancement</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Accord pilote / confidentialité / données</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faire valider juridiquement</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Après pilote</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Rapport de pilote externe</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produire sur résultats réels</w:t>
            </w:r>
          </w:p>
        </w:tc>
      </w:tr>
    </w:tbl>
    <w:p>
      <w:pPr>
        <w:spacing w:after="40"/>
      </w:pPr>
    </w:p>
    <w:p>
      <w:pPr>
        <w:pStyle w:val="Heading2"/>
      </w:pPr>
      <w:r>
        <w:t>No-go avant envoi public</w:t>
      </w:r>
    </w:p>
    <w:p>
      <w:pPr>
        <w:numPr>
          <w:ilvl w:val="0"/>
          <w:numId w:val="25"/>
        </w:numPr>
        <w:spacing w:after="80" w:line="283" w:lineRule="auto"/>
      </w:pPr>
      <w:r>
        <w:rPr>
          <w:rFonts w:ascii="Arial" w:hAnsi="Arial" w:eastAsia="Arial"/>
          <w:color w:val="162019"/>
          <w:sz w:val="20"/>
        </w:rPr>
        <w:t>site pacturion.com ou page hébergée inaccessible, onglets cassés ou authentification imposée ;</w:t>
      </w:r>
    </w:p>
    <w:p>
      <w:pPr>
        <w:numPr>
          <w:ilvl w:val="0"/>
          <w:numId w:val="25"/>
        </w:numPr>
        <w:spacing w:after="80" w:line="283" w:lineRule="auto"/>
      </w:pPr>
      <w:r>
        <w:rPr>
          <w:rFonts w:ascii="Arial" w:hAnsi="Arial" w:eastAsia="Arial"/>
          <w:color w:val="162019"/>
          <w:sz w:val="20"/>
        </w:rPr>
        <w:t>mentions légales ou contact non disponibles ;</w:t>
      </w:r>
    </w:p>
    <w:p>
      <w:pPr>
        <w:numPr>
          <w:ilvl w:val="0"/>
          <w:numId w:val="25"/>
        </w:numPr>
        <w:spacing w:after="80" w:line="283" w:lineRule="auto"/>
      </w:pPr>
      <w:r>
        <w:rPr>
          <w:rFonts w:ascii="Arial" w:hAnsi="Arial" w:eastAsia="Arial"/>
          <w:color w:val="162019"/>
          <w:sz w:val="20"/>
        </w:rPr>
        <w:t>nom d’entité, statut, partenaires ou audits non vérifiés ;</w:t>
      </w:r>
    </w:p>
    <w:p>
      <w:pPr>
        <w:numPr>
          <w:ilvl w:val="0"/>
          <w:numId w:val="25"/>
        </w:numPr>
        <w:spacing w:after="80" w:line="283" w:lineRule="auto"/>
      </w:pPr>
      <w:r>
        <w:rPr>
          <w:rFonts w:ascii="Arial" w:hAnsi="Arial" w:eastAsia="Arial"/>
          <w:color w:val="162019"/>
          <w:sz w:val="20"/>
        </w:rPr>
        <w:t>présentation laissant croire qu’ALPHA est un produit public ;</w:t>
      </w:r>
    </w:p>
    <w:p>
      <w:pPr>
        <w:numPr>
          <w:ilvl w:val="0"/>
          <w:numId w:val="25"/>
        </w:numPr>
        <w:spacing w:after="80" w:line="283" w:lineRule="auto"/>
      </w:pPr>
      <w:r>
        <w:rPr>
          <w:rFonts w:ascii="Arial" w:hAnsi="Arial" w:eastAsia="Arial"/>
          <w:color w:val="162019"/>
          <w:sz w:val="20"/>
        </w:rPr>
        <w:t>lien vers un token, un prix ou une promesse économique.</w:t>
      </w:r>
    </w:p>
    <w:p>
      <w:r>
        <w:br w:type="page"/>
      </w:r>
    </w:p>
    <w:p>
      <w:pPr>
        <w:keepNext/>
        <w:spacing w:before="440" w:after="100"/>
      </w:pPr>
      <w:r>
        <w:rPr>
          <w:rFonts w:ascii="Arial" w:hAnsi="Arial" w:eastAsia="Arial"/>
          <w:b/>
          <w:color w:val="C6A15B"/>
          <w:sz w:val="16"/>
        </w:rPr>
        <w:t>CHAPITRE 12</w:t>
      </w:r>
    </w:p>
    <w:p>
      <w:pPr>
        <w:pStyle w:val="Heading1"/>
        <w:pageBreakBefore w:val="0"/>
      </w:pPr>
      <w:r>
        <w:t>Communication et garde-fous</w:t>
      </w:r>
    </w:p>
    <w:p>
      <w:pPr>
        <w:pStyle w:val="Heading2"/>
      </w:pPr>
      <w:r>
        <w:t>Formulations autorisées</w:t>
      </w:r>
    </w:p>
    <w:p>
      <w:pPr>
        <w:numPr>
          <w:ilvl w:val="0"/>
          <w:numId w:val="26"/>
        </w:numPr>
        <w:spacing w:after="80" w:line="283" w:lineRule="auto"/>
      </w:pPr>
      <w:r>
        <w:rPr>
          <w:rFonts w:ascii="Arial" w:hAnsi="Arial" w:eastAsia="Arial"/>
          <w:color w:val="162019"/>
          <w:sz w:val="20"/>
        </w:rPr>
        <w:t>« projet Pacturion » tant que l’entité exacte n’est pas renseignée ;</w:t>
      </w:r>
    </w:p>
    <w:p>
      <w:pPr>
        <w:numPr>
          <w:ilvl w:val="0"/>
          <w:numId w:val="26"/>
        </w:numPr>
        <w:spacing w:after="80" w:line="283" w:lineRule="auto"/>
      </w:pPr>
      <w:r>
        <w:rPr>
          <w:rFonts w:ascii="Arial" w:hAnsi="Arial" w:eastAsia="Arial"/>
          <w:color w:val="162019"/>
          <w:sz w:val="20"/>
        </w:rPr>
        <w:t>« infrastructure de recherche pour engagements vérifiables » ;</w:t>
      </w:r>
    </w:p>
    <w:p>
      <w:pPr>
        <w:numPr>
          <w:ilvl w:val="0"/>
          <w:numId w:val="26"/>
        </w:numPr>
        <w:spacing w:after="80" w:line="283" w:lineRule="auto"/>
      </w:pPr>
      <w:r>
        <w:rPr>
          <w:rFonts w:ascii="Arial" w:hAnsi="Arial" w:eastAsia="Arial"/>
          <w:color w:val="162019"/>
          <w:sz w:val="20"/>
        </w:rPr>
        <w:t>« pilote externe borné, testnet-only » ;</w:t>
      </w:r>
    </w:p>
    <w:p>
      <w:pPr>
        <w:numPr>
          <w:ilvl w:val="0"/>
          <w:numId w:val="26"/>
        </w:numPr>
        <w:spacing w:after="80" w:line="283" w:lineRule="auto"/>
      </w:pPr>
      <w:r>
        <w:rPr>
          <w:rFonts w:ascii="Arial" w:hAnsi="Arial" w:eastAsia="Arial"/>
          <w:color w:val="162019"/>
          <w:sz w:val="20"/>
        </w:rPr>
        <w:t>« Release Candidate validé en interne » ;</w:t>
      </w:r>
    </w:p>
    <w:p>
      <w:pPr>
        <w:numPr>
          <w:ilvl w:val="0"/>
          <w:numId w:val="26"/>
        </w:numPr>
        <w:spacing w:after="80" w:line="283" w:lineRule="auto"/>
      </w:pPr>
      <w:r>
        <w:rPr>
          <w:rFonts w:ascii="Arial" w:hAnsi="Arial" w:eastAsia="Arial"/>
          <w:color w:val="162019"/>
          <w:sz w:val="20"/>
        </w:rPr>
        <w:t>« audit indépendant non réalisé » ;</w:t>
      </w:r>
    </w:p>
    <w:p>
      <w:pPr>
        <w:numPr>
          <w:ilvl w:val="0"/>
          <w:numId w:val="26"/>
        </w:numPr>
        <w:spacing w:after="80" w:line="283" w:lineRule="auto"/>
      </w:pPr>
      <w:r>
        <w:rPr>
          <w:rFonts w:ascii="Arial" w:hAnsi="Arial" w:eastAsia="Arial"/>
          <w:color w:val="162019"/>
          <w:sz w:val="20"/>
        </w:rPr>
        <w:t>« résultats limités aux cas et critères définis ».</w:t>
      </w:r>
    </w:p>
    <w:p>
      <w:pPr>
        <w:pStyle w:val="Heading2"/>
      </w:pPr>
      <w:r>
        <w:t>Formulations interdites</w:t>
      </w:r>
    </w:p>
    <w:p>
      <w:pPr>
        <w:numPr>
          <w:ilvl w:val="0"/>
          <w:numId w:val="27"/>
        </w:numPr>
        <w:spacing w:after="80" w:line="283" w:lineRule="auto"/>
      </w:pPr>
      <w:r>
        <w:rPr>
          <w:rFonts w:ascii="Arial" w:hAnsi="Arial" w:eastAsia="Arial"/>
          <w:color w:val="162019"/>
          <w:sz w:val="20"/>
        </w:rPr>
        <w:t>« entreprise » si aucune entité ne porte encore légalement Pacturion ;</w:t>
      </w:r>
    </w:p>
    <w:p>
      <w:pPr>
        <w:numPr>
          <w:ilvl w:val="0"/>
          <w:numId w:val="27"/>
        </w:numPr>
        <w:spacing w:after="80" w:line="283" w:lineRule="auto"/>
      </w:pPr>
      <w:r>
        <w:rPr>
          <w:rFonts w:ascii="Arial" w:hAnsi="Arial" w:eastAsia="Arial"/>
          <w:color w:val="162019"/>
          <w:sz w:val="20"/>
        </w:rPr>
        <w:t>« client », « partenaire », logo ou citation avant autorisation écrite ;</w:t>
      </w:r>
    </w:p>
    <w:p>
      <w:pPr>
        <w:numPr>
          <w:ilvl w:val="0"/>
          <w:numId w:val="27"/>
        </w:numPr>
        <w:spacing w:after="80" w:line="283" w:lineRule="auto"/>
      </w:pPr>
      <w:r>
        <w:rPr>
          <w:rFonts w:ascii="Arial" w:hAnsi="Arial" w:eastAsia="Arial"/>
          <w:color w:val="162019"/>
          <w:sz w:val="20"/>
        </w:rPr>
        <w:t>« audité », « certifié », « conforme MiCA », « régulé » ou « approuvé » ;</w:t>
      </w:r>
    </w:p>
    <w:p>
      <w:pPr>
        <w:numPr>
          <w:ilvl w:val="0"/>
          <w:numId w:val="27"/>
        </w:numPr>
        <w:spacing w:after="80" w:line="283" w:lineRule="auto"/>
      </w:pPr>
      <w:r>
        <w:rPr>
          <w:rFonts w:ascii="Arial" w:hAnsi="Arial" w:eastAsia="Arial"/>
          <w:color w:val="162019"/>
          <w:sz w:val="20"/>
        </w:rPr>
        <w:t>« garantit », « élimine la fraude », « vérité on-chain » ou promesse absolue ;</w:t>
      </w:r>
    </w:p>
    <w:p>
      <w:pPr>
        <w:numPr>
          <w:ilvl w:val="0"/>
          <w:numId w:val="27"/>
        </w:numPr>
        <w:spacing w:after="80" w:line="283" w:lineRule="auto"/>
      </w:pPr>
      <w:r>
        <w:rPr>
          <w:rFonts w:ascii="Arial" w:hAnsi="Arial" w:eastAsia="Arial"/>
          <w:color w:val="162019"/>
          <w:sz w:val="20"/>
        </w:rPr>
        <w:t>« investissement », « rendement », « cotation » ou objectif de prix ;</w:t>
      </w:r>
    </w:p>
    <w:p>
      <w:pPr>
        <w:numPr>
          <w:ilvl w:val="0"/>
          <w:numId w:val="27"/>
        </w:numPr>
        <w:spacing w:after="80" w:line="283" w:lineRule="auto"/>
      </w:pPr>
      <w:r>
        <w:rPr>
          <w:rFonts w:ascii="Arial" w:hAnsi="Arial" w:eastAsia="Arial"/>
          <w:color w:val="162019"/>
          <w:sz w:val="20"/>
        </w:rPr>
        <w:t>résultat chiffré sans méthode, taille d’échantillon et limite.</w:t>
      </w:r>
    </w:p>
    <w:p>
      <w:pPr>
        <w:pStyle w:val="Heading2"/>
      </w:pPr>
      <w:r>
        <w:t>Position VERIDIA</w:t>
      </w:r>
    </w:p>
    <w:p>
      <w:pPr>
        <w:spacing w:after="140" w:line="307" w:lineRule="auto"/>
      </w:pPr>
      <w:r>
        <w:rPr>
          <w:rFonts w:ascii="Arial" w:hAnsi="Arial" w:eastAsia="Arial"/>
          <w:i w:val="0"/>
          <w:color w:val="162019"/>
          <w:sz w:val="20"/>
        </w:rPr>
        <w:t>VERIDIA Protocol peut être présenté comme l’infrastructure technique sous-jacente lorsque cela aide l’interlocuteur. VERIDIA comme crypto-actif reste une hypothèse dormante : aucune distribution, utilité économique, cotation, APY, taxe de transfert, rendement ou partage de revenus n’est inclus dans la campagne.</w:t>
      </w:r>
    </w:p>
    <w:p>
      <w:pPr>
        <w:pStyle w:val="Heading2"/>
      </w:pPr>
      <w:r>
        <w:t>Validation avant chaque envoi</w:t>
      </w:r>
    </w:p>
    <w:tbl>
      <w:tblPr>
        <w:tblStyle w:val="TableGrid"/>
        <w:tblW w:type="dxa" w:w="9500"/>
        <w:jc w:val="left"/>
        <w:tblLayout w:type="fixed"/>
        <w:tblLook w:firstColumn="1" w:firstRow="1" w:lastColumn="0" w:lastRow="0" w:noHBand="0" w:noVBand="1" w:val="04A0"/>
        <w:tblInd w:w="120" w:type="dxa"/>
      </w:tblPr>
      <w:tblGrid>
        <w:gridCol w:w="7300"/>
        <w:gridCol w:w="2200"/>
      </w:tblGrid>
      <w:tr>
        <w:trPr>
          <w:tblHeader w:val="true"/>
          <w:cantSplit/>
        </w:trPr>
        <w:tc>
          <w:tcPr>
            <w:tcW w:type="dxa" w:w="7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Contrôle</w:t>
            </w:r>
          </w:p>
        </w:tc>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w:t>
            </w:r>
          </w:p>
        </w:tc>
      </w:tr>
      <w:tr>
        <w:trPr>
          <w:cantSplit/>
        </w:trPr>
        <w:tc>
          <w:tcPr>
            <w:tcW w:type="dxa" w:w="7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Destinataire et workflow précis identifiés</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[OUI / NON]</w:t>
            </w:r>
          </w:p>
        </w:tc>
      </w:tr>
      <w:tr>
        <w:trPr>
          <w:cantSplit/>
        </w:trPr>
        <w:tc>
          <w:tcPr>
            <w:tcW w:type="dxa" w:w="7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Message sans allégation non prouvée</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[OUI / NON]</w:t>
            </w:r>
          </w:p>
        </w:tc>
      </w:tr>
      <w:tr>
        <w:trPr>
          <w:cantSplit/>
        </w:trPr>
        <w:tc>
          <w:tcPr>
            <w:tcW w:type="dxa" w:w="7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Aucun lien vers une page défaillante</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[OUI / NON]</w:t>
            </w:r>
          </w:p>
        </w:tc>
      </w:tr>
      <w:tr>
        <w:trPr>
          <w:cantSplit/>
        </w:trPr>
        <w:tc>
          <w:tcPr>
            <w:tcW w:type="dxa" w:w="7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Pièce jointe à jour et adaptée</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[OUI / NON]</w:t>
            </w:r>
          </w:p>
        </w:tc>
      </w:tr>
      <w:tr>
        <w:trPr>
          <w:cantSplit/>
        </w:trPr>
        <w:tc>
          <w:tcPr>
            <w:tcW w:type="dxa" w:w="7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Prochain pas unique et raisonnable</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[OUI / NON]</w:t>
            </w:r>
          </w:p>
        </w:tc>
      </w:tr>
    </w:tbl>
    <w:p>
      <w:pPr>
        <w:spacing w:after="40"/>
      </w:pPr>
    </w:p>
    <w:p>
      <w:r>
        <w:br w:type="page"/>
      </w:r>
    </w:p>
    <w:p>
      <w:pPr>
        <w:keepNext/>
        <w:spacing w:before="440" w:after="100"/>
      </w:pPr>
      <w:r>
        <w:rPr>
          <w:rFonts w:ascii="Arial" w:hAnsi="Arial" w:eastAsia="Arial"/>
          <w:b/>
          <w:color w:val="C6A15B"/>
          <w:sz w:val="16"/>
        </w:rPr>
        <w:t>CHAPITRE 13</w:t>
      </w:r>
    </w:p>
    <w:p>
      <w:pPr>
        <w:pStyle w:val="Heading1"/>
        <w:pageBreakBefore w:val="0"/>
      </w:pPr>
      <w:r>
        <w:t>Tableau de suivi</w:t>
      </w:r>
    </w:p>
    <w:tbl>
      <w:tblPr>
        <w:tblStyle w:val="TableGrid"/>
        <w:tblW w:type="dxa" w:w="9500"/>
        <w:jc w:val="left"/>
        <w:tblLayout w:type="fixed"/>
        <w:tblLook w:firstColumn="1" w:firstRow="1" w:lastColumn="0" w:lastRow="0" w:noHBand="0" w:noVBand="1" w:val="04A0"/>
        <w:tblInd w:w="120" w:type="dxa"/>
      </w:tblPr>
      <w:tblGrid>
        <w:gridCol w:w="1800"/>
        <w:gridCol w:w="2100"/>
        <w:gridCol w:w="3100"/>
        <w:gridCol w:w="1100"/>
        <w:gridCol w:w="1400"/>
      </w:tblGrid>
      <w:tr>
        <w:trPr>
          <w:tblHeader w:val="true"/>
          <w:cantSplit/>
        </w:trPr>
        <w:tc>
          <w:tcPr>
            <w:tcW w:type="dxa" w:w="1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Compte</w:t>
            </w:r>
          </w:p>
        </w:tc>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Contact</w:t>
            </w:r>
          </w:p>
        </w:tc>
        <w:tc>
          <w:tcPr>
            <w:tcW w:type="dxa" w:w="31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Hypothèse workflow</w:t>
            </w:r>
          </w:p>
        </w:tc>
        <w:tc>
          <w:tcPr>
            <w:tcW w:type="dxa" w:w="1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Score</w:t>
            </w:r>
          </w:p>
        </w:tc>
        <w:tc>
          <w:tcPr>
            <w:tcW w:type="dxa" w:w="1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Étape</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[NOM / RÔLE]</w:t>
            </w:r>
          </w:p>
        </w:tc>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[0–14]</w:t>
            </w:r>
          </w:p>
        </w:tc>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LISTE</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[NOM / RÔLE]</w:t>
            </w:r>
          </w:p>
        </w:tc>
        <w:tc>
          <w:tcPr>
            <w:tcW w:type="dxa" w:w="3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[0–14]</w:t>
            </w:r>
          </w:p>
        </w:tc>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CONTACTÉ</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[NOM / RÔLE]</w:t>
            </w:r>
          </w:p>
        </w:tc>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[0–14]</w:t>
            </w:r>
          </w:p>
        </w:tc>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DÉCOUVERTE</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[NOM / RÔLE]</w:t>
            </w:r>
          </w:p>
        </w:tc>
        <w:tc>
          <w:tcPr>
            <w:tcW w:type="dxa" w:w="3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[0–14]</w:t>
            </w:r>
          </w:p>
        </w:tc>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CADRAGE</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[NOM / RÔLE]</w:t>
            </w:r>
          </w:p>
        </w:tc>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[0–14]</w:t>
            </w:r>
          </w:p>
        </w:tc>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DÉCISION</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[NOM / RÔLE]</w:t>
            </w:r>
          </w:p>
        </w:tc>
        <w:tc>
          <w:tcPr>
            <w:tcW w:type="dxa" w:w="3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[0–14]</w:t>
            </w:r>
          </w:p>
        </w:tc>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CLOS</w:t>
            </w:r>
          </w:p>
        </w:tc>
      </w:tr>
    </w:tbl>
    <w:p>
      <w:pPr>
        <w:spacing w:after="40"/>
      </w:pPr>
    </w:p>
    <w:p>
      <w:pPr>
        <w:pStyle w:val="Heading2"/>
      </w:pPr>
      <w:r>
        <w:t>États normalisés</w:t>
      </w:r>
    </w:p>
    <w:tbl>
      <w:tblPr>
        <w:tblStyle w:val="TableGrid"/>
        <w:tblW w:type="dxa" w:w="9500"/>
        <w:jc w:val="left"/>
        <w:tblLayout w:type="fixed"/>
        <w:tblLook w:firstColumn="1" w:firstRow="1" w:lastColumn="0" w:lastRow="0" w:noHBand="0" w:noVBand="1" w:val="04A0"/>
        <w:tblInd w:w="120" w:type="dxa"/>
      </w:tblPr>
      <w:tblGrid>
        <w:gridCol w:w="2000"/>
        <w:gridCol w:w="4300"/>
        <w:gridCol w:w="3200"/>
      </w:tblGrid>
      <w:tr>
        <w:trPr>
          <w:tblHeader w:val="true"/>
          <w:cantSplit/>
        </w:trPr>
        <w:tc>
          <w:tcPr>
            <w:tcW w:type="dxa" w:w="2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w:t>
            </w:r>
          </w:p>
        </w:tc>
        <w:tc>
          <w:tcPr>
            <w:tcW w:type="dxa" w:w="4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Définition</w:t>
            </w:r>
          </w:p>
        </w:tc>
        <w:tc>
          <w:tcPr>
            <w:tcW w:type="dxa" w:w="3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Action suivante</w:t>
            </w:r>
          </w:p>
        </w:tc>
      </w:tr>
      <w:tr>
        <w:trPr>
          <w:cantSplit/>
        </w:trPr>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LISTE</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Compte documenté mais non contacté</w:t>
            </w:r>
          </w:p>
        </w:tc>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Personnaliser</w:t>
            </w:r>
          </w:p>
        </w:tc>
      </w:tr>
      <w:tr>
        <w:trPr>
          <w:cantSplit/>
        </w:trPr>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CONTACTÉ</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Premier message envoyé</w:t>
            </w:r>
          </w:p>
        </w:tc>
        <w:tc>
          <w:tcPr>
            <w:tcW w:type="dxa" w:w="3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Relancer à J+4</w:t>
            </w:r>
          </w:p>
        </w:tc>
      </w:tr>
      <w:tr>
        <w:trPr>
          <w:cantSplit/>
        </w:trPr>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RÉPONSE</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Intérêt ou question reçue</w:t>
            </w:r>
          </w:p>
        </w:tc>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Planifier découverte</w:t>
            </w:r>
          </w:p>
        </w:tc>
      </w:tr>
      <w:tr>
        <w:trPr>
          <w:cantSplit/>
        </w:trPr>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DÉCOUVERTE</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Entretien tenu</w:t>
            </w:r>
          </w:p>
        </w:tc>
        <w:tc>
          <w:tcPr>
            <w:tcW w:type="dxa" w:w="3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Scorer sous 24 h</w:t>
            </w:r>
          </w:p>
        </w:tc>
      </w:tr>
      <w:tr>
        <w:trPr>
          <w:cantSplit/>
        </w:trPr>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CADRAGE</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Partenaire P1/P2 engagé</w:t>
            </w:r>
          </w:p>
        </w:tc>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Réunion avec décideur</w:t>
            </w:r>
          </w:p>
        </w:tc>
      </w:tr>
      <w:tr>
        <w:trPr>
          <w:cantSplit/>
        </w:trPr>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ACCORD</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Documents et dates convenus</w:t>
            </w:r>
          </w:p>
        </w:tc>
        <w:tc>
          <w:tcPr>
            <w:tcW w:type="dxa" w:w="3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Gate review</w:t>
            </w:r>
          </w:p>
        </w:tc>
      </w:tr>
      <w:tr>
        <w:trPr>
          <w:cantSplit/>
        </w:trPr>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CLOS</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Refus, inéligibilité ou silence après deux relances</w:t>
            </w:r>
          </w:p>
        </w:tc>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Archiver la raison</w:t>
            </w:r>
          </w:p>
        </w:tc>
      </w:tr>
    </w:tbl>
    <w:p>
      <w:pPr>
        <w:spacing w:after="40"/>
      </w:pPr>
    </w:p>
    <w:p>
      <w:pPr>
        <w:pStyle w:val="Heading2"/>
      </w:pPr>
      <w:r>
        <w:t>Mesures hebdomadaires</w:t>
      </w:r>
    </w:p>
    <w:tbl>
      <w:tblPr>
        <w:tblStyle w:val="TableGrid"/>
        <w:tblW w:type="dxa" w:w="9500"/>
        <w:jc w:val="left"/>
        <w:tblLayout w:type="fixed"/>
        <w:tblLook w:firstColumn="1" w:firstRow="1" w:lastColumn="0" w:lastRow="0" w:noHBand="0" w:noVBand="1" w:val="04A0"/>
        <w:tblInd w:w="120" w:type="dxa"/>
      </w:tblPr>
      <w:tblGrid>
        <w:gridCol w:w="3000"/>
        <w:gridCol w:w="2600"/>
        <w:gridCol w:w="3900"/>
      </w:tblGrid>
      <w:tr>
        <w:trPr>
          <w:tblHeader w:val="true"/>
          <w:cantSplit/>
        </w:trPr>
        <w:tc>
          <w:tcPr>
            <w:tcW w:type="dxa" w:w="3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Mesure</w:t>
            </w:r>
          </w:p>
        </w:tc>
        <w:tc>
          <w:tcPr>
            <w:tcW w:type="dxa" w:w="2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Cible de campagne</w:t>
            </w:r>
          </w:p>
        </w:tc>
        <w:tc>
          <w:tcPr>
            <w:tcW w:type="dxa" w:w="3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Lecture</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Approches ciblées</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10 maximum</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Discipline de personnalisation</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Réponses utiles</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observer</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Teste le message et le segment</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Découvertes</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5</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Base minimale de comparaison</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Profils P1</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1 à 3</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Réservoir de cadrage</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Pilote signé</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1</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Objectif final</w:t>
            </w:r>
          </w:p>
        </w:tc>
      </w:tr>
    </w:tbl>
    <w:p>
      <w:pPr>
        <w:spacing w:after="40"/>
      </w:pPr>
    </w:p>
    <w:p>
      <w:r>
        <w:br w:type="page"/>
      </w:r>
    </w:p>
    <w:p>
      <w:pPr>
        <w:keepNext/>
        <w:spacing w:before="440" w:after="100"/>
      </w:pPr>
      <w:r>
        <w:rPr>
          <w:rFonts w:ascii="Arial" w:hAnsi="Arial" w:eastAsia="Arial"/>
          <w:b/>
          <w:color w:val="C6A15B"/>
          <w:sz w:val="16"/>
        </w:rPr>
        <w:t>CHAPITRE 14</w:t>
      </w:r>
    </w:p>
    <w:p>
      <w:pPr>
        <w:pStyle w:val="Heading1"/>
        <w:pageBreakBefore w:val="0"/>
      </w:pPr>
      <w:r>
        <w:t>Plan d’exécution sur 30 jours</w:t>
      </w:r>
    </w:p>
    <w:tbl>
      <w:tblPr>
        <w:tblStyle w:val="TableGrid"/>
        <w:tblW w:type="dxa" w:w="9500"/>
        <w:jc w:val="left"/>
        <w:tblLayout w:type="fixed"/>
        <w:tblLook w:firstColumn="1" w:firstRow="1" w:lastColumn="0" w:lastRow="0" w:noHBand="0" w:noVBand="1" w:val="04A0"/>
        <w:tblInd w:w="120" w:type="dxa"/>
      </w:tblPr>
      <w:tblGrid>
        <w:gridCol w:w="1900"/>
        <w:gridCol w:w="5000"/>
        <w:gridCol w:w="2600"/>
      </w:tblGrid>
      <w:tr>
        <w:trPr>
          <w:tblHeader w:val="true"/>
          <w:cantSplit/>
        </w:trPr>
        <w:tc>
          <w:tcPr>
            <w:tcW w:type="dxa" w:w="1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Période</w:t>
            </w:r>
          </w:p>
        </w:tc>
        <w:tc>
          <w:tcPr>
            <w:tcW w:type="dxa" w:w="5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Action</w:t>
            </w:r>
          </w:p>
        </w:tc>
        <w:tc>
          <w:tcPr>
            <w:tcW w:type="dxa" w:w="2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Critère de sortie</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J1–J3</w:t>
            </w:r>
          </w:p>
        </w:tc>
        <w:tc>
          <w:tcPr>
            <w:tcW w:type="dxa" w:w="5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Corriger le site ou préparer un brief autonome ; constituer 20 comptes</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20 comptes avec contact et hypothèse</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J4–J7</w:t>
            </w:r>
          </w:p>
        </w:tc>
        <w:tc>
          <w:tcPr>
            <w:tcW w:type="dxa" w:w="5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Solliciter 5 introductions et envoyer 5 approches directes</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10 approches ciblées</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J8–J14</w:t>
            </w:r>
          </w:p>
        </w:tc>
        <w:tc>
          <w:tcPr>
            <w:tcW w:type="dxa" w:w="5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Relance J+4 et premiers entretiens</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2 à 3 découvertes tenues</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J15–J21</w:t>
            </w:r>
          </w:p>
        </w:tc>
        <w:tc>
          <w:tcPr>
            <w:tcW w:type="dxa" w:w="5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Deuxième vague ciblée uniquement si le message fonctionne</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5 découvertes au total</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J22–J25</w:t>
            </w:r>
          </w:p>
        </w:tc>
        <w:tc>
          <w:tcPr>
            <w:tcW w:type="dxa" w:w="5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Scoring, sélection et cadrage avec décideur</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1 candidat P1 retenu</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J26–J30</w:t>
            </w:r>
          </w:p>
        </w:tc>
        <w:tc>
          <w:tcPr>
            <w:tcW w:type="dxa" w:w="5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Protocole personnalisé, accords et gates</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Décision de lancement signée</w:t>
            </w:r>
          </w:p>
        </w:tc>
      </w:tr>
    </w:tbl>
    <w:p>
      <w:pPr>
        <w:spacing w:after="40"/>
      </w:pPr>
    </w:p>
    <w:p>
      <w:pPr>
        <w:pStyle w:val="Heading2"/>
      </w:pPr>
      <w:r>
        <w:t>Rituel de 30 minutes</w:t>
      </w:r>
    </w:p>
    <w:p>
      <w:pPr>
        <w:numPr>
          <w:ilvl w:val="0"/>
          <w:numId w:val="28"/>
        </w:numPr>
        <w:spacing w:after="80" w:line="283" w:lineRule="auto"/>
      </w:pPr>
      <w:r>
        <w:rPr>
          <w:rFonts w:ascii="Arial" w:hAnsi="Arial" w:eastAsia="Arial"/>
          <w:color w:val="162019"/>
          <w:sz w:val="20"/>
        </w:rPr>
        <w:t>Mettre à jour les réponses et prochaines actions.</w:t>
      </w:r>
    </w:p>
    <w:p>
      <w:pPr>
        <w:numPr>
          <w:ilvl w:val="0"/>
          <w:numId w:val="28"/>
        </w:numPr>
        <w:spacing w:after="80" w:line="283" w:lineRule="auto"/>
      </w:pPr>
      <w:r>
        <w:rPr>
          <w:rFonts w:ascii="Arial" w:hAnsi="Arial" w:eastAsia="Arial"/>
          <w:color w:val="162019"/>
          <w:sz w:val="20"/>
        </w:rPr>
        <w:t>Choisir au maximum trois actions à réaliser dans la semaine.</w:t>
      </w:r>
    </w:p>
    <w:p>
      <w:pPr>
        <w:numPr>
          <w:ilvl w:val="0"/>
          <w:numId w:val="28"/>
        </w:numPr>
        <w:spacing w:after="80" w:line="283" w:lineRule="auto"/>
      </w:pPr>
      <w:r>
        <w:rPr>
          <w:rFonts w:ascii="Arial" w:hAnsi="Arial" w:eastAsia="Arial"/>
          <w:color w:val="162019"/>
          <w:sz w:val="20"/>
        </w:rPr>
        <w:t>Revoir les formulations qui n’obtiennent aucune réponse utile.</w:t>
      </w:r>
    </w:p>
    <w:p>
      <w:pPr>
        <w:numPr>
          <w:ilvl w:val="0"/>
          <w:numId w:val="28"/>
        </w:numPr>
        <w:spacing w:after="80" w:line="283" w:lineRule="auto"/>
      </w:pPr>
      <w:r>
        <w:rPr>
          <w:rFonts w:ascii="Arial" w:hAnsi="Arial" w:eastAsia="Arial"/>
          <w:color w:val="162019"/>
          <w:sz w:val="20"/>
        </w:rPr>
        <w:t>Archiver les refus avec leur raison principale.</w:t>
      </w:r>
    </w:p>
    <w:p>
      <w:pPr>
        <w:numPr>
          <w:ilvl w:val="0"/>
          <w:numId w:val="28"/>
        </w:numPr>
        <w:spacing w:after="80" w:line="283" w:lineRule="auto"/>
      </w:pPr>
      <w:r>
        <w:rPr>
          <w:rFonts w:ascii="Arial" w:hAnsi="Arial" w:eastAsia="Arial"/>
          <w:color w:val="162019"/>
          <w:sz w:val="20"/>
        </w:rPr>
        <w:t>Vérifier que l’objectif reste un pilote, pas une audience LinkedIn.</w:t>
      </w:r>
    </w:p>
    <w:p>
      <w:pPr>
        <w:pStyle w:val="Heading2"/>
      </w:pPr>
      <w:r>
        <w:t>Décision à J30</w:t>
      </w:r>
    </w:p>
    <w:tbl>
      <w:tblPr>
        <w:tblStyle w:val="TableGrid"/>
        <w:tblW w:type="dxa" w:w="9500"/>
        <w:jc w:val="left"/>
        <w:tblLayout w:type="fixed"/>
        <w:tblLook w:firstColumn="1" w:firstRow="1" w:lastColumn="0" w:lastRow="0" w:noHBand="0" w:noVBand="1" w:val="04A0"/>
        <w:tblInd w:w="120" w:type="dxa"/>
      </w:tblPr>
      <w:tblGrid>
        <w:gridCol w:w="4500"/>
        <w:gridCol w:w="5000"/>
      </w:tblGrid>
      <w:tr>
        <w:trPr>
          <w:tblHeader w:val="true"/>
          <w:cantSplit/>
        </w:trPr>
        <w:tc>
          <w:tcPr>
            <w:tcW w:type="dxa" w:w="4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Résultat</w:t>
            </w:r>
          </w:p>
        </w:tc>
        <w:tc>
          <w:tcPr>
            <w:tcW w:type="dxa" w:w="5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Décision</w:t>
            </w:r>
          </w:p>
        </w:tc>
      </w:tr>
      <w:tr>
        <w:trPr>
          <w:cantSplit/>
        </w:trPr>
        <w:tc>
          <w:tcPr>
            <w:tcW w:type="dxa" w:w="4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Un partenaire P1 accepte le cadrage</w:t>
            </w:r>
          </w:p>
        </w:tc>
        <w:tc>
          <w:tcPr>
            <w:tcW w:type="dxa" w:w="5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Passer au protocole personnalisé</w:t>
            </w:r>
          </w:p>
        </w:tc>
      </w:tr>
      <w:tr>
        <w:trPr>
          <w:cantSplit/>
        </w:trPr>
        <w:tc>
          <w:tcPr>
            <w:tcW w:type="dxa" w:w="4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Des conversations mais aucun P1</w:t>
            </w:r>
          </w:p>
        </w:tc>
        <w:tc>
          <w:tcPr>
            <w:tcW w:type="dxa" w:w="5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Revoir segment et problème ; ne pas forcer un pilote</w:t>
            </w:r>
          </w:p>
        </w:tc>
      </w:tr>
      <w:tr>
        <w:trPr>
          <w:cantSplit/>
        </w:trPr>
        <w:tc>
          <w:tcPr>
            <w:tcW w:type="dxa" w:w="4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Peu de réponses</w:t>
            </w:r>
          </w:p>
        </w:tc>
        <w:tc>
          <w:tcPr>
            <w:tcW w:type="dxa" w:w="5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Revoir ciblage et message avant une nouvelle vague</w:t>
            </w:r>
          </w:p>
        </w:tc>
      </w:tr>
      <w:tr>
        <w:trPr>
          <w:cantSplit/>
        </w:trPr>
        <w:tc>
          <w:tcPr>
            <w:tcW w:type="dxa" w:w="4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Réponses centrées token/finance</w:t>
            </w:r>
          </w:p>
        </w:tc>
        <w:tc>
          <w:tcPr>
            <w:tcW w:type="dxa" w:w="5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Sortir du segment et renforcer le langage tokenless</w:t>
            </w:r>
          </w:p>
        </w:tc>
      </w:tr>
      <w:tr>
        <w:trPr>
          <w:cantSplit/>
        </w:trPr>
        <w:tc>
          <w:tcPr>
            <w:tcW w:type="dxa" w:w="4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Aucune conversation après 10 approches de qualité</w:t>
            </w:r>
          </w:p>
        </w:tc>
        <w:tc>
          <w:tcPr>
            <w:tcW w:type="dxa" w:w="5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PIVOT du positionnement, pas augmentation du volume</w:t>
            </w:r>
          </w:p>
        </w:tc>
      </w:tr>
    </w:tbl>
    <w:p>
      <w:pPr>
        <w:spacing w:after="40"/>
      </w:pPr>
    </w:p>
    <w:p>
      <w:r>
        <w:br w:type="page"/>
      </w:r>
    </w:p>
    <w:p>
      <w:pPr>
        <w:keepNext/>
        <w:spacing w:before="440" w:after="100"/>
      </w:pPr>
      <w:r>
        <w:rPr>
          <w:rFonts w:ascii="Arial" w:hAnsi="Arial" w:eastAsia="Arial"/>
          <w:b/>
          <w:color w:val="C6A15B"/>
          <w:sz w:val="16"/>
        </w:rPr>
        <w:t>CHAPITRE A</w:t>
      </w:r>
    </w:p>
    <w:p>
      <w:pPr>
        <w:pStyle w:val="Heading1"/>
        <w:pageBreakBefore w:val="0"/>
      </w:pPr>
      <w:r>
        <w:t>Fiche de qualification</w:t>
      </w:r>
    </w:p>
    <w:tbl>
      <w:tblPr>
        <w:tblStyle w:val="TableGrid"/>
        <w:tblW w:type="dxa" w:w="9500"/>
        <w:jc w:val="left"/>
        <w:tblLayout w:type="fixed"/>
        <w:tblLook w:firstColumn="1" w:firstRow="1" w:lastColumn="0" w:lastRow="0" w:noHBand="0" w:noVBand="1" w:val="04A0"/>
        <w:tblInd w:w="120" w:type="dxa"/>
      </w:tblPr>
      <w:tblGrid>
        <w:gridCol w:w="3400"/>
        <w:gridCol w:w="6100"/>
      </w:tblGrid>
      <w:tr>
        <w:trPr>
          <w:tblHeader w:val="true"/>
          <w:cantSplit/>
        </w:trPr>
        <w:tc>
          <w:tcPr>
            <w:tcW w:type="dxa" w:w="3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Champ</w:t>
            </w:r>
          </w:p>
        </w:tc>
        <w:tc>
          <w:tcPr>
            <w:tcW w:type="dxa" w:w="6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Réponse</w:t>
            </w:r>
          </w:p>
        </w:tc>
      </w:tr>
      <w:tr>
        <w:trPr>
          <w:cantSplit/>
        </w:trPr>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Organisation</w:t>
            </w:r>
          </w:p>
        </w:tc>
        <w:tc>
          <w:tcPr>
            <w:tcW w:type="dxa" w:w="6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r>
        <w:trPr>
          <w:cantSplit/>
        </w:trPr>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Contact / fonction</w:t>
            </w:r>
          </w:p>
        </w:tc>
        <w:tc>
          <w:tcPr>
            <w:tcW w:type="dxa" w:w="6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r>
        <w:trPr>
          <w:cantSplit/>
        </w:trPr>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Source du contact</w:t>
            </w:r>
          </w:p>
        </w:tc>
        <w:tc>
          <w:tcPr>
            <w:tcW w:type="dxa" w:w="6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[INTRODUCTION / LINKEDIN / EMAIL / AUTRE]</w:t>
            </w:r>
          </w:p>
        </w:tc>
      </w:tr>
      <w:tr>
        <w:trPr>
          <w:cantSplit/>
        </w:trPr>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Workflow étudié</w:t>
            </w:r>
          </w:p>
        </w:tc>
        <w:tc>
          <w:tcPr>
            <w:tcW w:type="dxa" w:w="6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r>
        <w:trPr>
          <w:cantSplit/>
        </w:trPr>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Cas récent décrit</w:t>
            </w:r>
          </w:p>
        </w:tc>
        <w:tc>
          <w:tcPr>
            <w:tcW w:type="dxa" w:w="6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r>
        <w:trPr>
          <w:cantSplit/>
        </w:trPr>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Fréquence / impact</w:t>
            </w:r>
          </w:p>
        </w:tc>
        <w:tc>
          <w:tcPr>
            <w:tcW w:type="dxa" w:w="6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r>
        <w:trPr>
          <w:cantSplit/>
        </w:trPr>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Acteurs et décideur</w:t>
            </w:r>
          </w:p>
        </w:tc>
        <w:tc>
          <w:tcPr>
            <w:tcW w:type="dxa" w:w="6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r>
        <w:trPr>
          <w:cantSplit/>
        </w:trPr>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Sources de preuve</w:t>
            </w:r>
          </w:p>
        </w:tc>
        <w:tc>
          <w:tcPr>
            <w:tcW w:type="dxa" w:w="6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r>
        <w:trPr>
          <w:cantSplit/>
        </w:trPr>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Cas testable sans effet réel</w:t>
            </w:r>
          </w:p>
        </w:tc>
        <w:tc>
          <w:tcPr>
            <w:tcW w:type="dxa" w:w="6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[OUI / NON + DESCRIPTION]</w:t>
            </w:r>
          </w:p>
        </w:tc>
      </w:tr>
      <w:tr>
        <w:trPr>
          <w:cantSplit/>
        </w:trPr>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Données compatibles</w:t>
            </w:r>
          </w:p>
        </w:tc>
        <w:tc>
          <w:tcPr>
            <w:tcW w:type="dxa" w:w="6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[OUI / NON + RESTRICTIONS]</w:t>
            </w:r>
          </w:p>
        </w:tc>
      </w:tr>
      <w:tr>
        <w:trPr>
          <w:cantSplit/>
        </w:trPr>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Disponibilité sous 30 jours</w:t>
            </w:r>
          </w:p>
        </w:tc>
        <w:tc>
          <w:tcPr>
            <w:tcW w:type="dxa" w:w="6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[OUI / NON]</w:t>
            </w:r>
          </w:p>
        </w:tc>
      </w:tr>
      <w:tr>
        <w:trPr>
          <w:cantSplit/>
        </w:trPr>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Temps accepté</w:t>
            </w:r>
          </w:p>
        </w:tc>
        <w:tc>
          <w:tcPr>
            <w:tcW w:type="dxa" w:w="6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[HEURES / PERSONNES]</w:t>
            </w:r>
          </w:p>
        </w:tc>
      </w:tr>
      <w:tr>
        <w:trPr>
          <w:cantSplit/>
        </w:trPr>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Score total</w:t>
            </w:r>
          </w:p>
        </w:tc>
        <w:tc>
          <w:tcPr>
            <w:tcW w:type="dxa" w:w="6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[0–14]</w:t>
            </w:r>
          </w:p>
        </w:tc>
      </w:tr>
      <w:tr>
        <w:trPr>
          <w:cantSplit/>
        </w:trPr>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Classe</w:t>
            </w:r>
          </w:p>
        </w:tc>
        <w:tc>
          <w:tcPr>
            <w:tcW w:type="dxa" w:w="6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[P1 / P2 / P3 / HORS CIBLE]</w:t>
            </w:r>
          </w:p>
        </w:tc>
      </w:tr>
      <w:tr>
        <w:trPr>
          <w:cantSplit/>
        </w:trPr>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Décision</w:t>
            </w:r>
          </w:p>
        </w:tc>
        <w:tc>
          <w:tcPr>
            <w:tcW w:type="dxa" w:w="6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[CADRAGE / CLARIFIER / VEILLE / CLOS]</w:t>
            </w:r>
          </w:p>
        </w:tc>
      </w:tr>
    </w:tbl>
    <w:p>
      <w:pPr>
        <w:spacing w:after="40"/>
      </w:pPr>
    </w:p>
    <w:p>
      <w:pPr>
        <w:pStyle w:val="Heading2"/>
      </w:pPr>
      <w:r>
        <w:t>Résumé après entretien</w:t>
      </w:r>
    </w:p>
    <w:p>
      <w:pPr>
        <w:spacing w:after="140" w:line="307" w:lineRule="auto"/>
      </w:pPr>
      <w:r>
        <w:rPr>
          <w:rFonts w:ascii="Arial" w:hAnsi="Arial" w:eastAsia="Arial"/>
          <w:i w:val="0"/>
          <w:color w:val="162019"/>
          <w:sz w:val="20"/>
        </w:rPr>
        <w:t>Problème principal : [À RENSEIGNER]. Preuve la plus forte : [À RENSEIGNER]. Risque principal : [À RENSEIGNER]. Pourquoi maintenant : [À RENSEIGNER]. Prochaine action, responsable et date : [À RENSEIGNER].</w:t>
      </w:r>
    </w:p>
    <w:p>
      <w:r>
        <w:br w:type="page"/>
      </w:r>
    </w:p>
    <w:p>
      <w:pPr>
        <w:keepNext/>
        <w:spacing w:before="440" w:after="100"/>
      </w:pPr>
      <w:r>
        <w:rPr>
          <w:rFonts w:ascii="Arial" w:hAnsi="Arial" w:eastAsia="Arial"/>
          <w:b/>
          <w:color w:val="C6A15B"/>
          <w:sz w:val="16"/>
        </w:rPr>
        <w:t>CHAPITRE B</w:t>
      </w:r>
    </w:p>
    <w:p>
      <w:pPr>
        <w:pStyle w:val="Heading1"/>
        <w:pageBreakBefore w:val="0"/>
      </w:pPr>
      <w:r>
        <w:t>Messages courts prêts à copier</w:t>
      </w:r>
    </w:p>
    <w:p>
      <w:pPr>
        <w:pStyle w:val="Heading2"/>
      </w:pPr>
      <w:r>
        <w:t>Relance J+4</w:t>
      </w:r>
    </w:p>
    <w:p>
      <w:pPr>
        <w:spacing w:before="100" w:after="180" w:line="283" w:lineRule="auto"/>
        <w:ind w:left="227" w:right="170"/>
        <w:shd w:fill="EDF3EF"/>
        <w:pBdr>
          <w:left w:val="single" w:sz="18" w:space="8" w:color="155A3E"/>
        </w:pBdr>
      </w:pPr>
      <w:r>
        <w:rPr>
          <w:rFonts w:ascii="Arial" w:hAnsi="Arial" w:eastAsia="Arial"/>
          <w:b/>
          <w:color w:val="155A3E"/>
          <w:sz w:val="16"/>
        </w:rPr>
        <w:t>TEXTE PRÊT À ADAPTER</w:t>
        <w:br/>
      </w:r>
      <w:r>
        <w:rPr>
          <w:rFonts w:ascii="Arial" w:hAnsi="Arial" w:eastAsia="Arial"/>
          <w:b w:val="0"/>
          <w:color w:val="162019"/>
          <w:sz w:val="20"/>
        </w:rPr>
        <w:t>Bonjour [Prénom], je me permets une seule relance. Ma question porte précisément sur la manière dont vous vérifiez [engagement/livrable] et gérez les contestations. Si ce sujet n’est pas prioritaire, dites-le-moi simplement et je clôture.</w:t>
      </w:r>
    </w:p>
    <w:p>
      <w:pPr>
        <w:pStyle w:val="Heading2"/>
      </w:pPr>
      <w:r>
        <w:t>Dernière relance J+10</w:t>
      </w:r>
    </w:p>
    <w:p>
      <w:pPr>
        <w:spacing w:before="100" w:after="180" w:line="283" w:lineRule="auto"/>
        <w:ind w:left="227" w:right="170"/>
        <w:shd w:fill="EDF3EF"/>
        <w:pBdr>
          <w:left w:val="single" w:sz="18" w:space="8" w:color="155A3E"/>
        </w:pBdr>
      </w:pPr>
      <w:r>
        <w:rPr>
          <w:rFonts w:ascii="Arial" w:hAnsi="Arial" w:eastAsia="Arial"/>
          <w:b/>
          <w:color w:val="155A3E"/>
          <w:sz w:val="16"/>
        </w:rPr>
        <w:t>TEXTE PRÊT À ADAPTER</w:t>
        <w:br/>
      </w:r>
      <w:r>
        <w:rPr>
          <w:rFonts w:ascii="Arial" w:hAnsi="Arial" w:eastAsia="Arial"/>
          <w:b w:val="0"/>
          <w:color w:val="162019"/>
          <w:sz w:val="20"/>
        </w:rPr>
        <w:t>Bonjour [Prénom], je clôture ce message après cette relance. Si les workflows de preuve et de validation deviennent un sujet chez [Organisation], je serai ravi de comparer votre fonctionnement à notre protocole testnet. Bonne continuation.</w:t>
      </w:r>
    </w:p>
    <w:p>
      <w:pPr>
        <w:pStyle w:val="Heading2"/>
      </w:pPr>
      <w:r>
        <w:t>Après un entretien qualifié</w:t>
      </w:r>
    </w:p>
    <w:p>
      <w:pPr>
        <w:spacing w:after="80"/>
      </w:pPr>
      <w:r>
        <w:rPr>
          <w:rFonts w:ascii="Arial" w:hAnsi="Arial" w:eastAsia="Arial"/>
          <w:b/>
          <w:color w:val="155A3E"/>
          <w:sz w:val="19"/>
        </w:rPr>
        <w:t xml:space="preserve">Objet : </w:t>
      </w:r>
      <w:r>
        <w:rPr>
          <w:rFonts w:ascii="Arial" w:hAnsi="Arial" w:eastAsia="Arial"/>
          <w:color w:val="162019"/>
          <w:sz w:val="19"/>
        </w:rPr>
        <w:t>Synthèse et proposition de cadrage Pacturion</w:t>
      </w:r>
    </w:p>
    <w:p>
      <w:pPr>
        <w:spacing w:before="100" w:after="180" w:line="283" w:lineRule="auto"/>
        <w:ind w:left="227" w:right="170"/>
        <w:shd w:fill="EDF3EF"/>
        <w:pBdr>
          <w:left w:val="single" w:sz="18" w:space="8" w:color="155A3E"/>
        </w:pBdr>
      </w:pPr>
      <w:r>
        <w:rPr>
          <w:rFonts w:ascii="Arial" w:hAnsi="Arial" w:eastAsia="Arial"/>
          <w:b/>
          <w:color w:val="155A3E"/>
          <w:sz w:val="16"/>
        </w:rPr>
        <w:t>TEXTE PRÊT À ADAPTER</w:t>
        <w:br/>
      </w:r>
      <w:r>
        <w:rPr>
          <w:rFonts w:ascii="Arial" w:hAnsi="Arial" w:eastAsia="Arial"/>
          <w:b w:val="0"/>
          <w:color w:val="162019"/>
          <w:sz w:val="20"/>
        </w:rPr>
        <w:t>Bonjour [Prénom],</w:t>
        <w:br/>
        <w:br/>
        <w:t>Merci pour l’échange. J’ai retenu : [problème], [workflow], [impact] et [cas testable]. Le principal point à confirmer reste [inconnue].</w:t>
        <w:br/>
        <w:br/>
        <w:t>Je propose un cadrage de 45 minutes avec [décideur] pour décider si un pilote testnet de quatre semaines est pertinent. L’objectif sera de geler le cas, les preuves, les données autorisées et les critères de succès — sans fonds réels ni engagement de production.</w:t>
        <w:br/>
        <w:br/>
        <w:t>Créneaux proposés : [A] / [B].</w:t>
        <w:br/>
        <w:br/>
        <w:t>Alexandre — Pacturion</w:t>
      </w:r>
    </w:p>
    <w:p>
      <w:pPr>
        <w:pStyle w:val="Heading2"/>
      </w:pPr>
      <w:r>
        <w:t>Refus propre</w:t>
      </w:r>
    </w:p>
    <w:p>
      <w:pPr>
        <w:spacing w:before="100" w:after="180" w:line="283" w:lineRule="auto"/>
        <w:ind w:left="227" w:right="170"/>
        <w:shd w:fill="EDF3EF"/>
        <w:pBdr>
          <w:left w:val="single" w:sz="18" w:space="8" w:color="155A3E"/>
        </w:pBdr>
      </w:pPr>
      <w:r>
        <w:rPr>
          <w:rFonts w:ascii="Arial" w:hAnsi="Arial" w:eastAsia="Arial"/>
          <w:b/>
          <w:color w:val="155A3E"/>
          <w:sz w:val="16"/>
        </w:rPr>
        <w:t>TEXTE PRÊT À ADAPTER</w:t>
        <w:br/>
      </w:r>
      <w:r>
        <w:rPr>
          <w:rFonts w:ascii="Arial" w:hAnsi="Arial" w:eastAsia="Arial"/>
          <w:b w:val="0"/>
          <w:color w:val="162019"/>
          <w:sz w:val="20"/>
        </w:rPr>
        <w:t>Merci pour votre franchise. Je clôture le sujet de mon côté. Si vous acceptez de me laisser une seule donnée utile : quelle est la raison principale — priorité insuffisante, mauvais interlocuteur, risque, calendrier ou proposition peu claire ?</w:t>
      </w:r>
    </w:p>
    <w:p>
      <w:pPr>
        <w:pStyle w:val="Heading2"/>
      </w:pPr>
      <w:r>
        <w:t>Demande de décideur</w:t>
      </w:r>
    </w:p>
    <w:p>
      <w:pPr>
        <w:spacing w:before="100" w:after="180" w:line="283" w:lineRule="auto"/>
        <w:ind w:left="227" w:right="170"/>
        <w:shd w:fill="EDF3EF"/>
        <w:pBdr>
          <w:left w:val="single" w:sz="18" w:space="8" w:color="155A3E"/>
        </w:pBdr>
      </w:pPr>
      <w:r>
        <w:rPr>
          <w:rFonts w:ascii="Arial" w:hAnsi="Arial" w:eastAsia="Arial"/>
          <w:b/>
          <w:color w:val="155A3E"/>
          <w:sz w:val="16"/>
        </w:rPr>
        <w:t>TEXTE PRÊT À ADAPTER</w:t>
        <w:br/>
      </w:r>
      <w:r>
        <w:rPr>
          <w:rFonts w:ascii="Arial" w:hAnsi="Arial" w:eastAsia="Arial"/>
          <w:b w:val="0"/>
          <w:color w:val="162019"/>
          <w:sz w:val="20"/>
        </w:rPr>
        <w:t>Le cas semble testable, mais le pilote n’aura de valeur que si la personne responsable de la décision métier participe au cadrage et à la clôture. Qui doit être présent pour qu’un GO ou un NO-GO soit réellement valable chez vous ?</w:t>
      </w:r>
    </w:p>
    <w:sectPr w:rsidR="00FC693F" w:rsidRPr="0006063C" w:rsidSect="00034616">
      <w:headerReference w:type="default" r:id="rId9"/>
      <w:footerReference w:type="default" r:id="rId10"/>
      <w:pgSz w:w="11906" w:h="16838"/>
      <w:pgMar w:top="1077" w:right="1134" w:bottom="1020"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 w:pos="9411" w:val="right"/>
      </w:tabs>
      <w:jc w:val="right"/>
    </w:pPr>
    <w:r>
      <w:rPr>
        <w:rFonts w:ascii="Arial" w:hAnsi="Arial" w:eastAsia="Arial"/>
        <w:color w:val="66736B"/>
        <w:sz w:val="14"/>
      </w:rPr>
      <w:t>PACTURION — PARTENAIRE PILOTE V1.0</w:t>
    </w:r>
    <w:r>
      <w:rPr>
        <w:rFonts w:ascii="Arial" w:hAnsi="Arial" w:eastAsia="Arial"/>
        <w:b/>
        <w:color w:val="C6A15B"/>
        <w:sz w:val="14"/>
      </w:rPr>
      <w:tab/>
      <w:t xml:space="preserve">USAGE CONTRÔLÉ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eastAsia="Arial"/>
        <w:b/>
        <w:color w:val="66736B"/>
        <w:sz w:val="15"/>
      </w:rPr>
      <w:t>PACTURION   |   RECRUTEMENT PARTENAIRE PILOTE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suff w:val="tab"/>
      <w:pPr>
        <w:tabs>
          <w:tab w:val="num" w:pos="540"/>
        </w:tabs>
        <w:ind w:left="540" w:hanging="270"/>
      </w:pPr>
      <w:rPr>
        <w:color w:val="C6A15B"/>
      </w:rPr>
    </w:lvl>
  </w:abstractNum>
  <w:num w:numId="10">
    <w:abstractNumId w:val="9"/>
  </w:num>
  <w:abstractNum w:abstractNumId="10">
    <w:multiLevelType w:val="singleLevel"/>
    <w:lvl w:ilvl="0">
      <w:start w:val="1"/>
      <w:numFmt w:val="decimal"/>
      <w:lvlText w:val="%1."/>
      <w:suff w:val="tab"/>
      <w:pPr>
        <w:tabs>
          <w:tab w:val="num" w:pos="540"/>
        </w:tabs>
        <w:ind w:left="540" w:hanging="270"/>
      </w:pPr>
      <w:rPr>
        <w:color w:val="155A3E"/>
      </w:rPr>
    </w:lvl>
  </w:abstractNum>
  <w:num w:numId="11">
    <w:abstractNumId w:val="10"/>
  </w:num>
  <w:abstractNum w:abstractNumId="11">
    <w:multiLevelType w:val="singleLevel"/>
    <w:lvl w:ilvl="0">
      <w:start w:val="1"/>
      <w:numFmt w:val="decimal"/>
      <w:lvlText w:val="%1."/>
      <w:suff w:val="tab"/>
      <w:pPr>
        <w:tabs>
          <w:tab w:val="num" w:pos="540"/>
        </w:tabs>
        <w:ind w:left="540" w:hanging="270"/>
      </w:pPr>
      <w:rPr>
        <w:color w:val="155A3E"/>
      </w:rPr>
    </w:lvl>
  </w:abstractNum>
  <w:num w:numId="12">
    <w:abstractNumId w:val="11"/>
  </w:num>
  <w:abstractNum w:abstractNumId="12">
    <w:multiLevelType w:val="singleLevel"/>
    <w:lvl w:ilvl="0">
      <w:start w:val="1"/>
      <w:numFmt w:val="decimal"/>
      <w:lvlText w:val="%1."/>
      <w:suff w:val="tab"/>
      <w:pPr>
        <w:tabs>
          <w:tab w:val="num" w:pos="540"/>
        </w:tabs>
        <w:ind w:left="540" w:hanging="270"/>
      </w:pPr>
      <w:rPr>
        <w:color w:val="155A3E"/>
      </w:rPr>
    </w:lvl>
  </w:abstractNum>
  <w:num w:numId="13">
    <w:abstractNumId w:val="12"/>
  </w:num>
  <w:abstractNum w:abstractNumId="13">
    <w:multiLevelType w:val="singleLevel"/>
    <w:lvl w:ilvl="0">
      <w:start w:val="1"/>
      <w:numFmt w:val="decimal"/>
      <w:lvlText w:val="%1."/>
      <w:suff w:val="tab"/>
      <w:pPr>
        <w:tabs>
          <w:tab w:val="num" w:pos="540"/>
        </w:tabs>
        <w:ind w:left="540" w:hanging="270"/>
      </w:pPr>
      <w:rPr>
        <w:color w:val="155A3E"/>
      </w:rPr>
    </w:lvl>
  </w:abstractNum>
  <w:num w:numId="14">
    <w:abstractNumId w:val="13"/>
  </w:num>
  <w:abstractNum w:abstractNumId="14">
    <w:multiLevelType w:val="singleLevel"/>
    <w:lvl w:ilvl="0">
      <w:start w:val="1"/>
      <w:numFmt w:val="decimal"/>
      <w:lvlText w:val="%1."/>
      <w:suff w:val="tab"/>
      <w:pPr>
        <w:tabs>
          <w:tab w:val="num" w:pos="540"/>
        </w:tabs>
        <w:ind w:left="540" w:hanging="270"/>
      </w:pPr>
      <w:rPr>
        <w:color w:val="155A3E"/>
      </w:rPr>
    </w:lvl>
  </w:abstractNum>
  <w:num w:numId="15">
    <w:abstractNumId w:val="14"/>
  </w:num>
  <w:abstractNum w:abstractNumId="15">
    <w:multiLevelType w:val="singleLevel"/>
    <w:lvl w:ilvl="0">
      <w:start w:val="1"/>
      <w:numFmt w:val="bullet"/>
      <w:lvlText w:val="•"/>
      <w:suff w:val="tab"/>
      <w:pPr>
        <w:tabs>
          <w:tab w:val="num" w:pos="540"/>
        </w:tabs>
        <w:ind w:left="540" w:hanging="270"/>
      </w:pPr>
      <w:rPr>
        <w:color w:val="C6A15B"/>
      </w:rPr>
    </w:lvl>
  </w:abstractNum>
  <w:num w:numId="16">
    <w:abstractNumId w:val="15"/>
  </w:num>
  <w:abstractNum w:abstractNumId="16">
    <w:multiLevelType w:val="singleLevel"/>
    <w:lvl w:ilvl="0">
      <w:start w:val="1"/>
      <w:numFmt w:val="bullet"/>
      <w:lvlText w:val="•"/>
      <w:suff w:val="tab"/>
      <w:pPr>
        <w:tabs>
          <w:tab w:val="num" w:pos="540"/>
        </w:tabs>
        <w:ind w:left="540" w:hanging="270"/>
      </w:pPr>
      <w:rPr>
        <w:color w:val="C6A15B"/>
      </w:rPr>
    </w:lvl>
  </w:abstractNum>
  <w:num w:numId="17">
    <w:abstractNumId w:val="16"/>
  </w:num>
  <w:abstractNum w:abstractNumId="17">
    <w:multiLevelType w:val="singleLevel"/>
    <w:lvl w:ilvl="0">
      <w:start w:val="1"/>
      <w:numFmt w:val="bullet"/>
      <w:lvlText w:val="•"/>
      <w:suff w:val="tab"/>
      <w:pPr>
        <w:tabs>
          <w:tab w:val="num" w:pos="540"/>
        </w:tabs>
        <w:ind w:left="540" w:hanging="270"/>
      </w:pPr>
      <w:rPr>
        <w:color w:val="C6A15B"/>
      </w:rPr>
    </w:lvl>
  </w:abstractNum>
  <w:num w:numId="18">
    <w:abstractNumId w:val="17"/>
  </w:num>
  <w:abstractNum w:abstractNumId="18">
    <w:multiLevelType w:val="singleLevel"/>
    <w:lvl w:ilvl="0">
      <w:start w:val="1"/>
      <w:numFmt w:val="bullet"/>
      <w:lvlText w:val="•"/>
      <w:suff w:val="tab"/>
      <w:pPr>
        <w:tabs>
          <w:tab w:val="num" w:pos="540"/>
        </w:tabs>
        <w:ind w:left="540" w:hanging="270"/>
      </w:pPr>
      <w:rPr>
        <w:color w:val="C6A15B"/>
      </w:rPr>
    </w:lvl>
  </w:abstractNum>
  <w:num w:numId="19">
    <w:abstractNumId w:val="18"/>
  </w:num>
  <w:abstractNum w:abstractNumId="19">
    <w:multiLevelType w:val="singleLevel"/>
    <w:lvl w:ilvl="0">
      <w:start w:val="1"/>
      <w:numFmt w:val="bullet"/>
      <w:lvlText w:val="•"/>
      <w:suff w:val="tab"/>
      <w:pPr>
        <w:tabs>
          <w:tab w:val="num" w:pos="540"/>
        </w:tabs>
        <w:ind w:left="540" w:hanging="270"/>
      </w:pPr>
      <w:rPr>
        <w:color w:val="C6A15B"/>
      </w:rPr>
    </w:lvl>
  </w:abstractNum>
  <w:num w:numId="20">
    <w:abstractNumId w:val="19"/>
  </w:num>
  <w:abstractNum w:abstractNumId="20">
    <w:multiLevelType w:val="singleLevel"/>
    <w:lvl w:ilvl="0">
      <w:start w:val="1"/>
      <w:numFmt w:val="bullet"/>
      <w:lvlText w:val="•"/>
      <w:suff w:val="tab"/>
      <w:pPr>
        <w:tabs>
          <w:tab w:val="num" w:pos="540"/>
        </w:tabs>
        <w:ind w:left="540" w:hanging="270"/>
      </w:pPr>
      <w:rPr>
        <w:color w:val="C6A15B"/>
      </w:rPr>
    </w:lvl>
  </w:abstractNum>
  <w:num w:numId="21">
    <w:abstractNumId w:val="20"/>
  </w:num>
  <w:abstractNum w:abstractNumId="21">
    <w:multiLevelType w:val="singleLevel"/>
    <w:lvl w:ilvl="0">
      <w:start w:val="1"/>
      <w:numFmt w:val="bullet"/>
      <w:lvlText w:val="•"/>
      <w:suff w:val="tab"/>
      <w:pPr>
        <w:tabs>
          <w:tab w:val="num" w:pos="540"/>
        </w:tabs>
        <w:ind w:left="540" w:hanging="270"/>
      </w:pPr>
      <w:rPr>
        <w:color w:val="C6A15B"/>
      </w:rPr>
    </w:lvl>
  </w:abstractNum>
  <w:num w:numId="22">
    <w:abstractNumId w:val="21"/>
  </w:num>
  <w:abstractNum w:abstractNumId="22">
    <w:multiLevelType w:val="singleLevel"/>
    <w:lvl w:ilvl="0">
      <w:start w:val="1"/>
      <w:numFmt w:val="bullet"/>
      <w:lvlText w:val="•"/>
      <w:suff w:val="tab"/>
      <w:pPr>
        <w:tabs>
          <w:tab w:val="num" w:pos="540"/>
        </w:tabs>
        <w:ind w:left="540" w:hanging="270"/>
      </w:pPr>
      <w:rPr>
        <w:color w:val="C6A15B"/>
      </w:rPr>
    </w:lvl>
  </w:abstractNum>
  <w:num w:numId="23">
    <w:abstractNumId w:val="22"/>
  </w:num>
  <w:abstractNum w:abstractNumId="23">
    <w:multiLevelType w:val="singleLevel"/>
    <w:lvl w:ilvl="0">
      <w:start w:val="1"/>
      <w:numFmt w:val="decimal"/>
      <w:lvlText w:val="%1."/>
      <w:suff w:val="tab"/>
      <w:pPr>
        <w:tabs>
          <w:tab w:val="num" w:pos="540"/>
        </w:tabs>
        <w:ind w:left="540" w:hanging="270"/>
      </w:pPr>
      <w:rPr>
        <w:color w:val="155A3E"/>
      </w:rPr>
    </w:lvl>
  </w:abstractNum>
  <w:num w:numId="24">
    <w:abstractNumId w:val="23"/>
  </w:num>
  <w:abstractNum w:abstractNumId="24">
    <w:multiLevelType w:val="singleLevel"/>
    <w:lvl w:ilvl="0">
      <w:start w:val="1"/>
      <w:numFmt w:val="bullet"/>
      <w:lvlText w:val="•"/>
      <w:suff w:val="tab"/>
      <w:pPr>
        <w:tabs>
          <w:tab w:val="num" w:pos="540"/>
        </w:tabs>
        <w:ind w:left="540" w:hanging="270"/>
      </w:pPr>
      <w:rPr>
        <w:color w:val="C6A15B"/>
      </w:rPr>
    </w:lvl>
  </w:abstractNum>
  <w:num w:numId="25">
    <w:abstractNumId w:val="24"/>
  </w:num>
  <w:abstractNum w:abstractNumId="25">
    <w:multiLevelType w:val="singleLevel"/>
    <w:lvl w:ilvl="0">
      <w:start w:val="1"/>
      <w:numFmt w:val="bullet"/>
      <w:lvlText w:val="•"/>
      <w:suff w:val="tab"/>
      <w:pPr>
        <w:tabs>
          <w:tab w:val="num" w:pos="540"/>
        </w:tabs>
        <w:ind w:left="540" w:hanging="270"/>
      </w:pPr>
      <w:rPr>
        <w:color w:val="C6A15B"/>
      </w:rPr>
    </w:lvl>
  </w:abstractNum>
  <w:num w:numId="26">
    <w:abstractNumId w:val="25"/>
  </w:num>
  <w:abstractNum w:abstractNumId="26">
    <w:multiLevelType w:val="singleLevel"/>
    <w:lvl w:ilvl="0">
      <w:start w:val="1"/>
      <w:numFmt w:val="bullet"/>
      <w:lvlText w:val="•"/>
      <w:suff w:val="tab"/>
      <w:pPr>
        <w:tabs>
          <w:tab w:val="num" w:pos="540"/>
        </w:tabs>
        <w:ind w:left="540" w:hanging="270"/>
      </w:pPr>
      <w:rPr>
        <w:color w:val="C6A15B"/>
      </w:rPr>
    </w:lvl>
  </w:abstractNum>
  <w:num w:numId="27">
    <w:abstractNumId w:val="26"/>
  </w:num>
  <w:abstractNum w:abstractNumId="27">
    <w:multiLevelType w:val="singleLevel"/>
    <w:lvl w:ilvl="0">
      <w:start w:val="1"/>
      <w:numFmt w:val="decimal"/>
      <w:lvlText w:val="%1."/>
      <w:suff w:val="tab"/>
      <w:pPr>
        <w:tabs>
          <w:tab w:val="num" w:pos="540"/>
        </w:tabs>
        <w:ind w:left="540" w:hanging="270"/>
      </w:pPr>
      <w:rPr>
        <w:color w:val="155A3E"/>
      </w:rPr>
    </w:lvl>
  </w:abstract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40" w:line="307" w:lineRule="auto"/>
    </w:pPr>
    <w:rPr>
      <w:rFonts w:ascii="Arial" w:hAnsi="Arial"/>
      <w:color w:val="162019"/>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Arial" w:hAnsi="Arial"/>
      <w:b/>
      <w:bCs/>
      <w:color w:val="06110B"/>
      <w:sz w:val="44"/>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b/>
      <w:bCs/>
      <w:color w:val="0D3A28"/>
      <w:sz w:val="28"/>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rial" w:hAnsi="Arial"/>
      <w:b/>
      <w:bCs/>
      <w:color w:val="155A3E"/>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eur-lex.europa.eu/eli/reg/2023/1114/oj" TargetMode="External"/><Relationship Id="rId13" Type="http://schemas.openxmlformats.org/officeDocument/2006/relationships/hyperlink" Target="https://docs.openzeppelin.com/contracts/5.x/governance" TargetMode="External"/><Relationship Id="rId14" Type="http://schemas.openxmlformats.org/officeDocument/2006/relationships/hyperlink" Target="https://docs.base.org/base-chain/network-information/" TargetMode="External"/><Relationship Id="rId15" Type="http://schemas.openxmlformats.org/officeDocument/2006/relationships/hyperlink" Target="https://www.amf-france.org/fr/espace-professionnels/fintech/mes-relations-avec-lamf/emission-admission-de-crypto-actifs" TargetMode="External"/><Relationship Id="rId16" Type="http://schemas.openxmlformats.org/officeDocument/2006/relationships/hyperlink" Target="https://eips.ethereum.org/EIPS/eip-20" TargetMode="External"/><Relationship Id="rId17" Type="http://schemas.openxmlformats.org/officeDocument/2006/relationships/hyperlink" Target="https://eips.ethereum.org/EIPS/eip-712" TargetMode="External"/><Relationship Id="rId18" Type="http://schemas.openxmlformats.org/officeDocument/2006/relationships/hyperlink" Target="https://eips.ethereum.org/EIPS/eip-12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Pacturion — Pack de recrutement du partenaire pilote V1.0</dc:title>
  <dc:subject>Ciblage, messages, qualification et conversion vers un pilote externe</dc:subject>
  <dc:creator>Pacturion</dc:creator>
  <cp:keywords>Pacturion, partenaire pilote, recrutement, prospection, ALPHA, VERIDIA, Base Sepolia, validation externe</cp:keywords>
  <dc:description>Document de travail contrôlé — ne constitue pas une offre au public.</dc:description>
  <cp:lastModifiedBy/>
  <cp:revision>1</cp:revision>
  <dcterms:created xsi:type="dcterms:W3CDTF">2013-12-23T23:15:00Z</dcterms:created>
  <dcterms:modified xsi:type="dcterms:W3CDTF">2013-12-23T23:15:00Z</dcterms:modified>
  <cp:category/>
</cp:coreProperties>
</file>