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4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160"/>
      </w:pPr>
      <w:r>
        <w:rPr>
          <w:rFonts w:ascii="Arial" w:hAnsi="Arial" w:eastAsia="Arial"/>
          <w:b/>
          <w:color w:val="06110B"/>
          <w:sz w:val="56"/>
        </w:rPr>
        <w:t>PRÉPARATION À L’AUDIT EXTERNE</w:t>
      </w:r>
    </w:p>
    <w:p>
      <w:pPr>
        <w:spacing w:after="240"/>
      </w:pPr>
      <w:r>
        <w:rPr>
          <w:rFonts w:ascii="Arial" w:hAnsi="Arial" w:eastAsia="Arial"/>
          <w:color w:val="155A3E"/>
          <w:sz w:val="32"/>
        </w:rPr>
        <w:t>Périmètre, preuves, contrôles et pièces manquantes</w:t>
      </w:r>
    </w:p>
    <w:p>
      <w:pPr>
        <w:spacing w:after="480"/>
      </w:pPr>
      <w:r>
        <w:rPr>
          <w:rFonts w:ascii="Arial" w:hAnsi="Arial" w:eastAsia="Arial"/>
          <w:color w:val="162019"/>
          <w:sz w:val="23"/>
        </w:rPr>
        <w:t>Dossier de travail destiné à cadrer une revue de sécurité indépendante de VERIDIA Protocol, sous la marque Pacturion.</w:t>
      </w:r>
    </w:p>
    <w:tbl>
      <w:tblPr>
        <w:tblStyle w:val="TableGrid"/>
        <w:tblW w:type="dxa" w:w="9600"/>
        <w:jc w:val="left"/>
        <w:tblLayout w:type="fixed"/>
        <w:tblLook w:firstColumn="1" w:firstRow="1" w:lastColumn="0" w:lastRow="0" w:noHBand="0" w:noVBand="1" w:val="04A0"/>
        <w:tblInd w:w="120" w:type="dxa"/>
      </w:tblPr>
      <w:tblGrid>
        <w:gridCol w:w="1300"/>
        <w:gridCol w:w="2100"/>
        <w:gridCol w:w="2900"/>
        <w:gridCol w:w="3300"/>
      </w:tblGrid>
      <w:tr>
        <w:trPr>
          <w:tblHeader w:val="true"/>
          <w:cantSplit/>
        </w:trPr>
        <w:tc>
          <w:tcPr>
            <w:tcW w:type="dxa" w:w="1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2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3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ENVIRONNEMENT</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Préparation — non audité</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Base Sepolia · chain ID 84532</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 DE LECTURE</w:t>
        <w:br/>
      </w:r>
      <w:r>
        <w:rPr>
          <w:rFonts w:ascii="Arial" w:hAnsi="Arial" w:eastAsia="Arial"/>
          <w:b w:val="0"/>
          <w:color w:val="162019"/>
          <w:sz w:val="20"/>
        </w:rPr>
        <w:t>Ce document n’est ni un rapport d’audit, ni une certification, ni une attestation de sécurité. Il organise le périmètre proposé, les éléments disponibles et les preuves restant à fournir avant le démarrage d’une revue indépendante.</w:t>
      </w:r>
    </w:p>
    <w:p>
      <w:pPr>
        <w:spacing w:before="840"/>
      </w:pPr>
      <w:r>
        <w:rPr>
          <w:rFonts w:ascii="Arial" w:hAnsi="Arial" w:eastAsia="Arial"/>
          <w:b/>
          <w:color w:val="C6A15B"/>
          <w:sz w:val="22"/>
        </w:rPr>
        <w:t>Infrastructure for verifiable commitments.</w:t>
      </w:r>
    </w:p>
    <w:p>
      <w:r>
        <w:rPr>
          <w:rFonts w:ascii="Arial" w:hAnsi="Arial" w:eastAsia="Arial"/>
          <w:color w:val="66736B"/>
          <w:sz w:val="18"/>
        </w:rPr>
        <w:t>Pacturion · VERIDIA Protocol</w:t>
      </w:r>
    </w:p>
    <w:p>
      <w:r>
        <w:br w:type="page"/>
      </w:r>
    </w:p>
    <w:p>
      <w:pPr>
        <w:keepNext/>
        <w:spacing w:before="0" w:after="100"/>
      </w:pPr>
      <w:r>
        <w:rPr>
          <w:rFonts w:ascii="Arial" w:hAnsi="Arial" w:eastAsia="Arial"/>
          <w:b/>
          <w:color w:val="C6A15B"/>
          <w:sz w:val="16"/>
        </w:rPr>
        <w:t>CONTRÔLE DU DOCUMENT</w:t>
      </w:r>
    </w:p>
    <w:p>
      <w:pPr>
        <w:spacing w:after="280"/>
      </w:pPr>
      <w:r>
        <w:rPr>
          <w:rFonts w:ascii="Arial" w:hAnsi="Arial" w:eastAsia="Arial"/>
          <w:b/>
          <w:color w:val="06110B"/>
          <w:sz w:val="46"/>
        </w:rPr>
        <w:t>Objet, statut et conditions d’utilisation</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Propriétaire</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 — À RENSEIGNER : responsable nommé et coordonnées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Système examiné</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VERIDIA Protocol</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Réseau de préparation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Base Sepolia — chain ID 84532</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Mainnet</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Non autorisé dans le cadre de ce dossier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Audit indépendant</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Non réalisé à la date de référence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Diffusion</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Équipe Pacturion, conseil qualifié et auditeur pressenti</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Classification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Document de travail contrôlé</w:t>
            </w:r>
          </w:p>
        </w:tc>
      </w:tr>
    </w:tbl>
    <w:p>
      <w:pPr>
        <w:spacing w:after="40"/>
      </w:pPr>
    </w:p>
    <w:p>
      <w:pPr>
        <w:pStyle w:val="Heading2"/>
      </w:pPr>
      <w:r>
        <w:t>Principe de traçabilité</w:t>
      </w:r>
    </w:p>
    <w:p>
      <w:pPr>
        <w:spacing w:after="140" w:line="307" w:lineRule="auto"/>
      </w:pPr>
      <w:r>
        <w:rPr>
          <w:rFonts w:ascii="Arial" w:hAnsi="Arial" w:eastAsia="Arial"/>
          <w:i w:val="0"/>
          <w:color w:val="162019"/>
          <w:sz w:val="20"/>
        </w:rPr>
        <w:t>Chaque affirmation technique destinée à l’auditeur doit pouvoir être reliée à une version de code, une configuration, un environnement, un propriétaire et une pièce vérifiable. Toute valeur inconnue reste explicitement marquée ; aucune adresse, couverture, conclusion ou preuve n’est reconstruite par supposition.</w:t>
      </w:r>
    </w:p>
    <w:tbl>
      <w:tblPr>
        <w:tblStyle w:val="TableGrid"/>
        <w:tblW w:type="dxa" w:w="9500"/>
        <w:jc w:val="left"/>
        <w:tblLayout w:type="fixed"/>
        <w:tblLook w:firstColumn="1" w:firstRow="1" w:lastColumn="0" w:lastRow="0" w:noHBand="0" w:noVBand="1" w:val="04A0"/>
        <w:tblInd w:w="120" w:type="dxa"/>
      </w:tblPr>
      <w:tblGrid>
        <w:gridCol w:w="2200"/>
        <w:gridCol w:w="7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MARQUEUR</w:t>
            </w:r>
          </w:p>
        </w:tc>
        <w:tc>
          <w:tcPr>
            <w:tcW w:type="dxa" w:w="7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SIGNIFICATION</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ÉTABLI</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Élément appuyé par une source disponible et identifiable.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DÉCLARÉ</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Élément communiqué par le porteur, sans pièce formelle disponible dans ce dossier.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RENSEIGNER</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Valeur exacte nécessaire avant transmission à l’auditeur.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PRODUIRE</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Preuve ou livrable encore absent du corpus documentaire.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HORS PÉRIMÈTRE</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Composant explicitement exclu de la revue proposée.</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Vue de préparation</w:t>
      </w:r>
    </w:p>
    <w:p>
      <w:pPr>
        <w:keepNext/>
        <w:spacing w:after="320"/>
      </w:pPr>
      <w:r>
        <w:rPr>
          <w:rFonts w:ascii="Arial" w:hAnsi="Arial" w:eastAsia="Arial"/>
          <w:i/>
          <w:color w:val="66736B"/>
          <w:sz w:val="25"/>
        </w:rPr>
        <w:t>Ce qui est disponible, ce qui est déclaré et ce qui bloque encore l’ouverture formelle de l’audit.</w:t>
      </w:r>
    </w:p>
    <w:tbl>
      <w:tblPr>
        <w:tblStyle w:val="TableGrid"/>
        <w:tblW w:type="dxa" w:w="9500"/>
        <w:jc w:val="left"/>
        <w:tblLayout w:type="fixed"/>
        <w:tblLook w:firstColumn="1" w:firstRow="1" w:lastColumn="0" w:lastRow="0" w:noHBand="0" w:noVBand="1" w:val="04A0"/>
        <w:tblInd w:w="120" w:type="dxa"/>
      </w:tblPr>
      <w:tblGrid>
        <w:gridCol w:w="2500"/>
        <w:gridCol w:w="1800"/>
        <w:gridCol w:w="5200"/>
      </w:tblGrid>
      <w:tr>
        <w:trPr>
          <w:tblHeader w:val="true"/>
          <w:cantSplit/>
        </w:trPr>
        <w:tc>
          <w:tcPr>
            <w:tcW w:type="dxa" w:w="2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52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OBSERVATION / ACTION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Architecture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STRUCTURÉ</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Modules et frontières de confiance décrits au niveau conceptuel.</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Phase 3B</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PASS INTERNE</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Résultat documenté en interne ; joindre le rapport et les traces exactes.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Phase 3.E Human Pilot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PASS DÉCLARÉ</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Déclaration du porteur ; rapport formel non fourni.</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Release Candidate</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PASS DÉCLARÉ</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Déclaration du porteur ; gate signée à produire.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Déploiement testnet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DÉCLARÉ</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Base Sepolia connue ; registre d’adresses et artefacts à consolider.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Tests automatisés</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Commandes, versions, sorties, couverture et cas négatifs.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indépendant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RÉALISÉ</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Prochaine gate externe annoncée.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Mainnet</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INTERDIT</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Aucune autorisation ou revendication de disponibilité mainnet.</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DÉCISION ACTUELLE</w:t>
        <w:br/>
      </w:r>
      <w:r>
        <w:rPr>
          <w:rFonts w:ascii="Arial" w:hAnsi="Arial" w:eastAsia="Arial"/>
          <w:b w:val="0"/>
          <w:color w:val="162019"/>
          <w:sz w:val="20"/>
        </w:rPr>
        <w:t>Le dossier est apte à lancer une collecte de preuves et un cadrage avec un auditeur. Il n’est pas encore apte à figer un périmètre contractuel tant que le commit, les adresses, les paramètres de compilation, la matrice des rôles et les preuves de test ne sont pas renseignés.</w:t>
      </w:r>
    </w:p>
    <w:p>
      <w:pPr>
        <w:pStyle w:val="Heading2"/>
      </w:pPr>
      <w:r>
        <w:t>Conditions minimales avant devis ferme</w:t>
      </w:r>
    </w:p>
    <w:p>
      <w:pPr>
        <w:numPr>
          <w:ilvl w:val="0"/>
          <w:numId w:val="16"/>
        </w:numPr>
        <w:spacing w:after="80" w:line="283" w:lineRule="auto"/>
      </w:pPr>
      <w:r>
        <w:rPr>
          <w:rFonts w:ascii="Arial" w:hAnsi="Arial" w:eastAsia="Arial"/>
          <w:color w:val="162019"/>
          <w:sz w:val="20"/>
        </w:rPr>
        <w:t>Version de code unique et gelée, avec tag ou commit signé.</w:t>
      </w:r>
    </w:p>
    <w:p>
      <w:pPr>
        <w:numPr>
          <w:ilvl w:val="0"/>
          <w:numId w:val="16"/>
        </w:numPr>
        <w:spacing w:after="80" w:line="283" w:lineRule="auto"/>
      </w:pPr>
      <w:r>
        <w:rPr>
          <w:rFonts w:ascii="Arial" w:hAnsi="Arial" w:eastAsia="Arial"/>
          <w:color w:val="162019"/>
          <w:sz w:val="20"/>
        </w:rPr>
        <w:t>Liste exacte des contrats, services, bibliothèques et exclusions.</w:t>
      </w:r>
    </w:p>
    <w:p>
      <w:pPr>
        <w:numPr>
          <w:ilvl w:val="0"/>
          <w:numId w:val="16"/>
        </w:numPr>
        <w:spacing w:after="80" w:line="283" w:lineRule="auto"/>
      </w:pPr>
      <w:r>
        <w:rPr>
          <w:rFonts w:ascii="Arial" w:hAnsi="Arial" w:eastAsia="Arial"/>
          <w:color w:val="162019"/>
          <w:sz w:val="20"/>
        </w:rPr>
        <w:t>Déploiement reproductible et registre d’adresses vérifié.</w:t>
      </w:r>
    </w:p>
    <w:p>
      <w:pPr>
        <w:numPr>
          <w:ilvl w:val="0"/>
          <w:numId w:val="16"/>
        </w:numPr>
        <w:spacing w:after="80" w:line="283" w:lineRule="auto"/>
      </w:pPr>
      <w:r>
        <w:rPr>
          <w:rFonts w:ascii="Arial" w:hAnsi="Arial" w:eastAsia="Arial"/>
          <w:color w:val="162019"/>
          <w:sz w:val="20"/>
        </w:rPr>
        <w:t>Modèle de menace, invariants attendus et rôles privilégiés validés.</w:t>
      </w:r>
    </w:p>
    <w:p>
      <w:pPr>
        <w:numPr>
          <w:ilvl w:val="0"/>
          <w:numId w:val="16"/>
        </w:numPr>
        <w:spacing w:after="80" w:line="283" w:lineRule="auto"/>
      </w:pPr>
      <w:r>
        <w:rPr>
          <w:rFonts w:ascii="Arial" w:hAnsi="Arial" w:eastAsia="Arial"/>
          <w:color w:val="162019"/>
          <w:sz w:val="20"/>
        </w:rPr>
        <w:t>Suite de tests exécutable accompagnée de ses résultats bruts.</w:t>
      </w:r>
    </w:p>
    <w:p>
      <w:r>
        <w:br w:type="page"/>
      </w:r>
    </w:p>
    <w:p>
      <w:pPr>
        <w:keepNext/>
        <w:spacing w:before="440" w:after="100"/>
      </w:pPr>
      <w:r>
        <w:rPr>
          <w:rFonts w:ascii="Arial" w:hAnsi="Arial" w:eastAsia="Arial"/>
          <w:b/>
          <w:color w:val="C6A15B"/>
          <w:sz w:val="16"/>
        </w:rPr>
        <w:t>CHAPITRE 02</w:t>
      </w:r>
    </w:p>
    <w:p>
      <w:pPr>
        <w:pStyle w:val="Heading1"/>
        <w:pageBreakBefore w:val="0"/>
      </w:pPr>
      <w:r>
        <w:t>Objectifs et limites de la revue</w:t>
      </w:r>
    </w:p>
    <w:p>
      <w:pPr>
        <w:keepNext/>
        <w:spacing w:after="320"/>
      </w:pPr>
      <w:r>
        <w:rPr>
          <w:rFonts w:ascii="Arial" w:hAnsi="Arial" w:eastAsia="Arial"/>
          <w:i/>
          <w:color w:val="66736B"/>
          <w:sz w:val="25"/>
        </w:rPr>
        <w:t>Définir précisément ce que l’auditeur devra conclure — et ce qu’il ne devra pas conclure.</w:t>
      </w:r>
    </w:p>
    <w:p>
      <w:pPr>
        <w:pStyle w:val="Heading2"/>
      </w:pPr>
      <w:r>
        <w:t>Objectifs proposés</w:t>
      </w:r>
    </w:p>
    <w:p>
      <w:pPr>
        <w:numPr>
          <w:ilvl w:val="0"/>
          <w:numId w:val="16"/>
        </w:numPr>
        <w:spacing w:after="80" w:line="283" w:lineRule="auto"/>
      </w:pPr>
      <w:r>
        <w:rPr>
          <w:rFonts w:ascii="Arial" w:hAnsi="Arial" w:eastAsia="Arial"/>
          <w:color w:val="162019"/>
          <w:sz w:val="20"/>
        </w:rPr>
        <w:t>Évaluer si l’implémentation respecte les propriétés de sécurité et les invariants déclarés.</w:t>
      </w:r>
    </w:p>
    <w:p>
      <w:pPr>
        <w:numPr>
          <w:ilvl w:val="0"/>
          <w:numId w:val="16"/>
        </w:numPr>
        <w:spacing w:after="80" w:line="283" w:lineRule="auto"/>
      </w:pPr>
      <w:r>
        <w:rPr>
          <w:rFonts w:ascii="Arial" w:hAnsi="Arial" w:eastAsia="Arial"/>
          <w:color w:val="162019"/>
          <w:sz w:val="20"/>
        </w:rPr>
        <w:t>Identifier les vulnérabilités exploitables dans le code, les contrôles d’accès et les intégrations critiques.</w:t>
      </w:r>
    </w:p>
    <w:p>
      <w:pPr>
        <w:numPr>
          <w:ilvl w:val="0"/>
          <w:numId w:val="16"/>
        </w:numPr>
        <w:spacing w:after="80" w:line="283" w:lineRule="auto"/>
      </w:pPr>
      <w:r>
        <w:rPr>
          <w:rFonts w:ascii="Arial" w:hAnsi="Arial" w:eastAsia="Arial"/>
          <w:color w:val="162019"/>
          <w:sz w:val="20"/>
        </w:rPr>
        <w:t>Examiner les hypothèses de confiance : collecteurs, clés, RPC, finalité, opérateurs et sources autorisées.</w:t>
      </w:r>
    </w:p>
    <w:p>
      <w:pPr>
        <w:numPr>
          <w:ilvl w:val="0"/>
          <w:numId w:val="16"/>
        </w:numPr>
        <w:spacing w:after="80" w:line="283" w:lineRule="auto"/>
      </w:pPr>
      <w:r>
        <w:rPr>
          <w:rFonts w:ascii="Arial" w:hAnsi="Arial" w:eastAsia="Arial"/>
          <w:color w:val="162019"/>
          <w:sz w:val="20"/>
        </w:rPr>
        <w:t>Vérifier que les conséquences sont explicites, bornées et déclenchées uniquement selon les règles prévues.</w:t>
      </w:r>
    </w:p>
    <w:p>
      <w:pPr>
        <w:numPr>
          <w:ilvl w:val="0"/>
          <w:numId w:val="16"/>
        </w:numPr>
        <w:spacing w:after="80" w:line="283" w:lineRule="auto"/>
      </w:pPr>
      <w:r>
        <w:rPr>
          <w:rFonts w:ascii="Arial" w:hAnsi="Arial" w:eastAsia="Arial"/>
          <w:color w:val="162019"/>
          <w:sz w:val="20"/>
        </w:rPr>
        <w:t>Évaluer la préparation opérationnelle : surveillance, réaction aux incidents, récupération et gestion des changements.</w:t>
      </w:r>
    </w:p>
    <w:p>
      <w:pPr>
        <w:pStyle w:val="Heading2"/>
      </w:pPr>
      <w:r>
        <w:t>Non-objectifs explicites</w:t>
      </w:r>
    </w:p>
    <w:tbl>
      <w:tblPr>
        <w:tblStyle w:val="TableGrid"/>
        <w:tblW w:type="dxa" w:w="9500"/>
        <w:jc w:val="left"/>
        <w:tblLayout w:type="fixed"/>
        <w:tblLook w:firstColumn="1" w:firstRow="1" w:lastColumn="0" w:lastRow="0" w:noHBand="0" w:noVBand="1" w:val="04A0"/>
        <w:tblInd w:w="120" w:type="dxa"/>
      </w:tblPr>
      <w:tblGrid>
        <w:gridCol w:w="2900"/>
        <w:gridCol w:w="6600"/>
      </w:tblGrid>
      <w:tr>
        <w:trPr>
          <w:tblHeader w:val="true"/>
          <w:cantSplit/>
        </w:trPr>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SUJET</w:t>
            </w:r>
          </w:p>
        </w:tc>
        <w:tc>
          <w:tcPr>
            <w:tcW w:type="dxa" w:w="6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POSITION</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Certification absolue</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Un audit réduit le risque ; il ne garantit pas l’absence de vulnérabilité.</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Vérité du monde réel</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Le protocole évalue des preuves autorisées ; il ne garantit pas la véracité intrinsèque d’un fait externe.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Validation commerciale</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L’audit ne valide ni le besoin client, ni le prix, ni le marché.</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Avis juridique ou financier</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À traiter séparément par des conseils compétents.</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Mainnet</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Aucune autorisation de lancement ne découle automatiquement du rapport.</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Token VERIDIA</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Tokenomics et distribution exclus sauf ajout écrit au périmètre.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FORMULATION PUBLIQUE</w:t>
        <w:br/>
      </w:r>
      <w:r>
        <w:rPr>
          <w:rFonts w:ascii="Arial" w:hAnsi="Arial" w:eastAsia="Arial"/>
          <w:b w:val="0"/>
          <w:color w:val="162019"/>
          <w:sz w:val="20"/>
        </w:rPr>
        <w:t>Tant que le rapport final signé n’existe pas, la seule formulation admissible est : “audit indépendant en préparation”.</w:t>
      </w:r>
    </w:p>
    <w:p>
      <w:r>
        <w:br w:type="page"/>
      </w:r>
    </w:p>
    <w:p>
      <w:pPr>
        <w:keepNext/>
        <w:spacing w:before="440" w:after="100"/>
      </w:pPr>
      <w:r>
        <w:rPr>
          <w:rFonts w:ascii="Arial" w:hAnsi="Arial" w:eastAsia="Arial"/>
          <w:b/>
          <w:color w:val="C6A15B"/>
          <w:sz w:val="16"/>
        </w:rPr>
        <w:t>CHAPITRE 03</w:t>
      </w:r>
    </w:p>
    <w:p>
      <w:pPr>
        <w:pStyle w:val="Heading1"/>
        <w:pageBreakBefore w:val="0"/>
      </w:pPr>
      <w:r>
        <w:t>Fiche de gel du périmètre</w:t>
      </w:r>
    </w:p>
    <w:p>
      <w:pPr>
        <w:keepNext/>
        <w:spacing w:after="320"/>
      </w:pPr>
      <w:r>
        <w:rPr>
          <w:rFonts w:ascii="Arial" w:hAnsi="Arial" w:eastAsia="Arial"/>
          <w:i/>
          <w:color w:val="66736B"/>
          <w:sz w:val="25"/>
        </w:rPr>
        <w:t>L’identification exacte de la version à examiner constitue la première preuve de sérieux.</w:t>
      </w:r>
    </w:p>
    <w:tbl>
      <w:tblPr>
        <w:tblStyle w:val="TableGrid"/>
        <w:tblW w:type="dxa" w:w="9500"/>
        <w:jc w:val="left"/>
        <w:tblLayout w:type="fixed"/>
        <w:tblLook w:firstColumn="1" w:firstRow="1" w:lastColumn="0" w:lastRow="0" w:noHBand="0" w:noVBand="1" w:val="04A0"/>
        <w:tblInd w:w="120" w:type="dxa"/>
      </w:tblPr>
      <w:tblGrid>
        <w:gridCol w:w="2700"/>
        <w:gridCol w:w="4500"/>
        <w:gridCol w:w="2300"/>
      </w:tblGrid>
      <w:tr>
        <w:trPr>
          <w:tblHeader w:val="true"/>
          <w:cantSplit/>
        </w:trPr>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PARAMÈTRE</w:t>
            </w:r>
          </w:p>
        </w:tc>
        <w:tc>
          <w:tcPr>
            <w:tcW w:type="dxa" w:w="4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À FIGER</w:t>
            </w:r>
          </w:p>
        </w:tc>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Dépôt principal</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URL et propriétaire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Commit</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SHA complet</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Tag / release</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Nom et signature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Branche protégée</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Nom et règles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Langage / compilateur</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Version exacte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Paramètres de compilation</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Optimizer, runs, EVM target, metadata</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Gestionnaire / lockfile</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Outil, version et checksum</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Réseau</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Base Sepolia — chain ID 84532</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ÉTABLI</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Adresses déployées</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Contrat → adresse → tx → bloc</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Bytecode vérifié</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Hash local / on-chain</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Date de gel</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UTC</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Approbateurs</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Technique, sécurité, direction</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RÈGLE DE CHANGEMENT</w:t>
        <w:br/>
      </w:r>
      <w:r>
        <w:rPr>
          <w:rFonts w:ascii="Arial" w:hAnsi="Arial" w:eastAsia="Arial"/>
          <w:b w:val="0"/>
          <w:color w:val="162019"/>
          <w:sz w:val="20"/>
        </w:rPr>
        <w:t>Après gel, toute modification du code, des dépendances, des paramètres ou des rôles doit être enregistrée. L’auditeur décide si elle exige une extension de périmètre ou un nouveau test.</w:t>
      </w:r>
    </w:p>
    <w:p>
      <w:r>
        <w:br w:type="page"/>
      </w:r>
    </w:p>
    <w:p>
      <w:pPr>
        <w:keepNext/>
        <w:spacing w:before="440" w:after="100"/>
      </w:pPr>
      <w:r>
        <w:rPr>
          <w:rFonts w:ascii="Arial" w:hAnsi="Arial" w:eastAsia="Arial"/>
          <w:b/>
          <w:color w:val="C6A15B"/>
          <w:sz w:val="16"/>
        </w:rPr>
        <w:t>CHAPITRE 04</w:t>
      </w:r>
    </w:p>
    <w:p>
      <w:pPr>
        <w:pStyle w:val="Heading1"/>
        <w:pageBreakBefore w:val="0"/>
      </w:pPr>
      <w:r>
        <w:t>Inventaire des composants</w:t>
      </w:r>
    </w:p>
    <w:p>
      <w:pPr>
        <w:keepNext/>
        <w:spacing w:after="320"/>
      </w:pPr>
      <w:r>
        <w:rPr>
          <w:rFonts w:ascii="Arial" w:hAnsi="Arial" w:eastAsia="Arial"/>
          <w:i/>
          <w:color w:val="66736B"/>
          <w:sz w:val="25"/>
        </w:rPr>
        <w:t>Délimiter les actifs examinés, leurs propriétaires et leurs interfaces.</w:t>
      </w:r>
    </w:p>
    <w:tbl>
      <w:tblPr>
        <w:tblStyle w:val="TableGrid"/>
        <w:tblW w:type="dxa" w:w="9500"/>
        <w:jc w:val="left"/>
        <w:tblLayout w:type="fixed"/>
        <w:tblLook w:firstColumn="1" w:firstRow="1" w:lastColumn="0" w:lastRow="0" w:noHBand="0" w:noVBand="1" w:val="04A0"/>
        <w:tblInd w:w="120" w:type="dxa"/>
      </w:tblPr>
      <w:tblGrid>
        <w:gridCol w:w="2000"/>
        <w:gridCol w:w="3000"/>
        <w:gridCol w:w="2100"/>
        <w:gridCol w:w="24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FONCTION ATTENDUE</w:t>
            </w:r>
          </w:p>
        </w:tc>
        <w:tc>
          <w:tcPr>
            <w:tcW w:type="dxa" w:w="2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INCLUSION PROPOSÉE</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Interfaces Pacturion</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Création et suivi des engagements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CONFIRMER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Dépôt / build à fournir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API et identité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Authentification, autorisation, exposition des données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CONFIRMER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Spécification et configuration</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 / Trust Engine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Interprétation des preuves et décision</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DANS LE CŒUR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Code, règles et tests</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Collecteurs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Acquisition depuis les sources autorisées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DANS LE CŒUR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Liste, clés et scénarios d’échec</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Indexer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Lecture et reconstruction d’état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CONFIRMER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Code et stratégie reorg</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Persistance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Conservation des états et traces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CONFIRMER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Schéma, sauvegarde, restauration</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Contrats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Règles, états, rôles et conséquences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DANS LE CŒUR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Sources et adresses</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Infrastructure ops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Déploiement, secrets, monitoring</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REVUE CIBLÉE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Runbooks et configurations</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BCS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Module sponsor indépendant et borné</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HORS PÉRIMÈTRE initial</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Ajouter par avenant</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Proof-of-Reality</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Axe R&amp;D long terme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HORS PÉRIMÈTRE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auditable à ce stade</w:t>
            </w:r>
          </w:p>
        </w:tc>
      </w:tr>
    </w:tbl>
    <w:p>
      <w:pPr>
        <w:spacing w:after="40"/>
      </w:pPr>
    </w:p>
    <w:p>
      <w:pPr>
        <w:pStyle w:val="Heading2"/>
      </w:pPr>
      <w:r>
        <w:t>Interfaces externes à lister</w:t>
      </w:r>
    </w:p>
    <w:p>
      <w:pPr>
        <w:numPr>
          <w:ilvl w:val="0"/>
          <w:numId w:val="16"/>
        </w:numPr>
        <w:spacing w:after="80" w:line="283" w:lineRule="auto"/>
      </w:pPr>
      <w:r>
        <w:rPr>
          <w:rFonts w:ascii="Arial" w:hAnsi="Arial" w:eastAsia="Arial"/>
          <w:color w:val="162019"/>
          <w:sz w:val="20"/>
        </w:rPr>
        <w:t>RPC et fournisseurs de nœuds ; stratégie multi-RPC et seuils de bascule.</w:t>
      </w:r>
    </w:p>
    <w:p>
      <w:pPr>
        <w:numPr>
          <w:ilvl w:val="0"/>
          <w:numId w:val="16"/>
        </w:numPr>
        <w:spacing w:after="80" w:line="283" w:lineRule="auto"/>
      </w:pPr>
      <w:r>
        <w:rPr>
          <w:rFonts w:ascii="Arial" w:hAnsi="Arial" w:eastAsia="Arial"/>
          <w:color w:val="162019"/>
          <w:sz w:val="20"/>
        </w:rPr>
        <w:t>Sources de preuve, format des attestations et règles d’autorisation.</w:t>
      </w:r>
    </w:p>
    <w:p>
      <w:pPr>
        <w:numPr>
          <w:ilvl w:val="0"/>
          <w:numId w:val="16"/>
        </w:numPr>
        <w:spacing w:after="80" w:line="283" w:lineRule="auto"/>
      </w:pPr>
      <w:r>
        <w:rPr>
          <w:rFonts w:ascii="Arial" w:hAnsi="Arial" w:eastAsia="Arial"/>
          <w:color w:val="162019"/>
          <w:sz w:val="20"/>
        </w:rPr>
        <w:t>Services de signature, stockage de secrets et rotation des clés.</w:t>
      </w:r>
    </w:p>
    <w:p>
      <w:pPr>
        <w:numPr>
          <w:ilvl w:val="0"/>
          <w:numId w:val="16"/>
        </w:numPr>
        <w:spacing w:after="80" w:line="283" w:lineRule="auto"/>
      </w:pPr>
      <w:r>
        <w:rPr>
          <w:rFonts w:ascii="Arial" w:hAnsi="Arial" w:eastAsia="Arial"/>
          <w:color w:val="162019"/>
          <w:sz w:val="20"/>
        </w:rPr>
        <w:t>Bibliothèques, oracles ou services tiers pouvant influencer une décision.</w:t>
      </w:r>
    </w:p>
    <w:p>
      <w:r>
        <w:br w:type="page"/>
      </w:r>
    </w:p>
    <w:p>
      <w:pPr>
        <w:keepNext/>
        <w:spacing w:before="440" w:after="100"/>
      </w:pPr>
      <w:r>
        <w:rPr>
          <w:rFonts w:ascii="Arial" w:hAnsi="Arial" w:eastAsia="Arial"/>
          <w:b/>
          <w:color w:val="C6A15B"/>
          <w:sz w:val="16"/>
        </w:rPr>
        <w:t>CHAPITRE 05</w:t>
      </w:r>
    </w:p>
    <w:p>
      <w:pPr>
        <w:pStyle w:val="Heading1"/>
        <w:pageBreakBefore w:val="0"/>
      </w:pPr>
      <w:r>
        <w:t>Architecture et frontières de confiance</w:t>
      </w:r>
    </w:p>
    <w:p>
      <w:pPr>
        <w:keepNext/>
        <w:spacing w:after="320"/>
      </w:pPr>
      <w:r>
        <w:rPr>
          <w:rFonts w:ascii="Arial" w:hAnsi="Arial" w:eastAsia="Arial"/>
          <w:i/>
          <w:color w:val="66736B"/>
          <w:sz w:val="25"/>
        </w:rPr>
        <w:t>Rendre visibles les endroits où une donnée, une identité ou une décision change de niveau de confiance.</w:t>
      </w:r>
    </w:p>
    <w:tbl>
      <w:tblPr>
        <w:tblStyle w:val="TableGrid"/>
        <w:tblW w:type="dxa" w:w="9500"/>
        <w:jc w:val="left"/>
        <w:tblLayout w:type="fixed"/>
        <w:tblLook w:firstColumn="1" w:firstRow="1" w:lastColumn="0" w:lastRow="0" w:noHBand="0" w:noVBand="1" w:val="04A0"/>
        <w:tblInd w:w="120" w:type="dxa"/>
      </w:tblPr>
      <w:tblGrid>
        <w:gridCol w:w="2100"/>
        <w:gridCol w:w="2100"/>
        <w:gridCol w:w="2700"/>
        <w:gridCol w:w="2600"/>
      </w:tblGrid>
      <w:tr>
        <w:trPr>
          <w:tblHeader w:val="true"/>
          <w:cantSplit/>
        </w:trPr>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FRONTIÈRE</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ENTRÉE</w:t>
            </w:r>
          </w:p>
        </w:tc>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 PRINCIPAL</w:t>
            </w:r>
          </w:p>
        </w:tc>
        <w:tc>
          <w:tcPr>
            <w:tcW w:type="dxa" w:w="2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 ATTENDU</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Utilisateur → interface</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Instruction / engagement</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Paramètres ambigus ou modifiés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Validation, consentement, empreinte immuable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Interface → API</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Identité et requête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Usurpation / rejeu</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AuthN, AuthZ, nonce, journalisation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 → collecteur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Fait ou attestation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 compromise ou format trompeur</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Allowlist, signature, fraîcheur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Collecteur → moteur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 normalisée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Altération / doublon</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Schéma canonique, hash, idempotence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Moteur → contrat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 instruction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non autorisée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Rôle dédié, domaine signé, bornes</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Chaîne → indexer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Logs et états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Réorganisation / lecture incomplète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Finalité, reprise, réconciliation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Ops → production</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Déploiement / configuration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Erreur ou accès excessif</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Séparation des rôles, revue, rollback</w:t>
            </w:r>
          </w:p>
        </w:tc>
      </w:tr>
    </w:tbl>
    <w:p>
      <w:pPr>
        <w:spacing w:after="40"/>
      </w:pPr>
    </w:p>
    <w:p>
      <w:pPr>
        <w:pStyle w:val="Heading2"/>
      </w:pPr>
      <w:r>
        <w:t>Acteurs à documenter</w:t>
      </w:r>
    </w:p>
    <w:tbl>
      <w:tblPr>
        <w:tblStyle w:val="TableGrid"/>
        <w:tblW w:type="dxa" w:w="9500"/>
        <w:jc w:val="left"/>
        <w:tblLayout w:type="fixed"/>
        <w:tblLook w:firstColumn="1" w:firstRow="1" w:lastColumn="0" w:lastRow="0" w:noHBand="0" w:noVBand="1" w:val="04A0"/>
        <w:tblInd w:w="120" w:type="dxa"/>
      </w:tblPr>
      <w:tblGrid>
        <w:gridCol w:w="2700"/>
        <w:gridCol w:w="4200"/>
        <w:gridCol w:w="26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ACTEUR</w:t>
            </w:r>
          </w:p>
        </w:tc>
        <w:tc>
          <w:tcPr>
            <w:tcW w:type="dxa" w:w="4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POUVOIR</w:t>
            </w:r>
          </w:p>
        </w:tc>
        <w:tc>
          <w:tcPr>
            <w:tcW w:type="dxa" w:w="26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IDENTITÉ / PROPRIÉTAIRE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Créateur d’engagement</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Propose les paramètres initiaux</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Contrepartie</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Accepte ou refuse selon le workflow</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Collecteur autorisé</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Soumet une preuve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Opérateur</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Exécute les services hors chaîne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Administrateur</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Modifie les paramètres autorisés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Auditeur / observateur</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Lit et rapproche les traces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bl>
    <w:p>
      <w:pPr>
        <w:spacing w:after="40"/>
      </w:pPr>
    </w:p>
    <w:p>
      <w:r>
        <w:br w:type="page"/>
      </w:r>
    </w:p>
    <w:p>
      <w:pPr>
        <w:keepNext/>
        <w:spacing w:before="440" w:after="100"/>
      </w:pPr>
      <w:r>
        <w:rPr>
          <w:rFonts w:ascii="Arial" w:hAnsi="Arial" w:eastAsia="Arial"/>
          <w:b/>
          <w:color w:val="C6A15B"/>
          <w:sz w:val="16"/>
        </w:rPr>
        <w:t>CHAPITRE 06</w:t>
      </w:r>
    </w:p>
    <w:p>
      <w:pPr>
        <w:pStyle w:val="Heading1"/>
        <w:pageBreakBefore w:val="0"/>
      </w:pPr>
      <w:r>
        <w:t>Propriétés de sécurité et invariants</w:t>
      </w:r>
    </w:p>
    <w:p>
      <w:pPr>
        <w:keepNext/>
        <w:spacing w:after="320"/>
      </w:pPr>
      <w:r>
        <w:rPr>
          <w:rFonts w:ascii="Arial" w:hAnsi="Arial" w:eastAsia="Arial"/>
          <w:i/>
          <w:color w:val="66736B"/>
          <w:sz w:val="25"/>
        </w:rPr>
        <w:t>Les affirmations que les tests et la revue de code devront chercher à falsifier.</w:t>
      </w:r>
    </w:p>
    <w:tbl>
      <w:tblPr>
        <w:tblStyle w:val="TableGrid"/>
        <w:tblW w:type="dxa" w:w="9500"/>
        <w:jc w:val="left"/>
        <w:tblLayout w:type="fixed"/>
        <w:tblLook w:firstColumn="1" w:firstRow="1" w:lastColumn="0" w:lastRow="0" w:noHBand="0" w:noVBand="1" w:val="04A0"/>
        <w:tblInd w:w="120" w:type="dxa"/>
      </w:tblPr>
      <w:tblGrid>
        <w:gridCol w:w="1100"/>
        <w:gridCol w:w="5100"/>
        <w:gridCol w:w="3300"/>
      </w:tblGrid>
      <w:tr>
        <w:trPr>
          <w:tblHeader w:val="true"/>
          <w:cantSplit/>
        </w:trPr>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5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PROPRIÉTÉ ATTENDUE</w:t>
            </w:r>
          </w:p>
        </w:tc>
        <w:tc>
          <w:tcPr>
            <w:tcW w:type="dxa" w:w="33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TEST / PREUVE À PRODUIRE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INV-01</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Les paramètres acceptés et les échéances ne peuvent pas être modifiés silencieusement.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 d’immutabilité et événements</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INV-02</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conséquence ne dépasse jamais la borne explicitement acceptée et préfinancée.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Invariants, fuzzing, scénarios limites</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INV-03</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Seules les sources et identités autorisées peuvent contribuer à une décision.</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 de rôles et signatures invalides</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INV-04</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preuve rejouée ou dupliquée ne produit pas une seconde conséquence.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Rejeu, nonce, idempotence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INV-05</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L’absence ou le conflit de preuve aboutit à UNDETERMINED, sans décision optimiste.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Cas négatifs et indisponibilité</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INV-06</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 logique tient compte de la finalité et peut se réconcilier après une réorganisation.</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Simulation reorg et reprise indexer</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INV-07</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Les pouvoirs privilégiés sont minimaux, traçables et séparés.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Matrice d’accès et tests d’escalade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INV-08</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Toute décision peut être reliée aux règles, preuves et versions utilisées.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Trace d’audit bout en bout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INV-09</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panne externe n’entraîne ni perte de données ni état irréversible incohérent.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Chaos tests, sauvegarde, restauration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DOCTRINE FAIL-CLOSED</w:t>
        <w:br/>
      </w:r>
      <w:r>
        <w:rPr>
          <w:rFonts w:ascii="Arial" w:hAnsi="Arial" w:eastAsia="Arial"/>
          <w:b w:val="0"/>
          <w:color w:val="162019"/>
          <w:sz w:val="20"/>
        </w:rPr>
        <w:t>Lorsque le système ne peut pas établir une décision selon les règles et preuves autorisées, il doit conserver un état explicitement indéterminé plutôt que d’inférer un succès ou un échec.</w:t>
      </w:r>
    </w:p>
    <w:p>
      <w:r>
        <w:br w:type="page"/>
      </w:r>
    </w:p>
    <w:p>
      <w:pPr>
        <w:keepNext/>
        <w:spacing w:before="440" w:after="100"/>
      </w:pPr>
      <w:r>
        <w:rPr>
          <w:rFonts w:ascii="Arial" w:hAnsi="Arial" w:eastAsia="Arial"/>
          <w:b/>
          <w:color w:val="C6A15B"/>
          <w:sz w:val="16"/>
        </w:rPr>
        <w:t>CHAPITRE 07</w:t>
      </w:r>
    </w:p>
    <w:p>
      <w:pPr>
        <w:pStyle w:val="Heading1"/>
        <w:pageBreakBefore w:val="0"/>
      </w:pPr>
      <w:r>
        <w:t>Rôles privilégiés et contrôles d’accès</w:t>
      </w:r>
    </w:p>
    <w:p>
      <w:pPr>
        <w:keepNext/>
        <w:spacing w:after="320"/>
      </w:pPr>
      <w:r>
        <w:rPr>
          <w:rFonts w:ascii="Arial" w:hAnsi="Arial" w:eastAsia="Arial"/>
          <w:i/>
          <w:color w:val="66736B"/>
          <w:sz w:val="25"/>
        </w:rPr>
        <w:t>Documenter qui peut faire quoi, dans quelles limites et avec quel mécanisme de révocation.</w:t>
      </w:r>
    </w:p>
    <w:tbl>
      <w:tblPr>
        <w:tblStyle w:val="TableGrid"/>
        <w:tblW w:type="dxa" w:w="9500"/>
        <w:jc w:val="left"/>
        <w:tblLayout w:type="fixed"/>
        <w:tblLook w:firstColumn="1" w:firstRow="1" w:lastColumn="0" w:lastRow="0" w:noHBand="0" w:noVBand="1" w:val="04A0"/>
        <w:tblInd w:w="120" w:type="dxa"/>
      </w:tblPr>
      <w:tblGrid>
        <w:gridCol w:w="2300"/>
        <w:gridCol w:w="2100"/>
        <w:gridCol w:w="3400"/>
        <w:gridCol w:w="17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CAPACITÉ</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 AUTORISÉ</w:t>
            </w:r>
          </w:p>
        </w:tc>
        <w:tc>
          <w:tcPr>
            <w:tcW w:type="dxa" w:w="3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GARDE-FOU ATTENDU</w:t>
            </w:r>
          </w:p>
        </w:tc>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Déployer / mettre à niveau</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Multisig, délai, revue et événement</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Modifier les sources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Allowlist, délai, justification</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Modifier les paramètres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Bornes codées et gouvernance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Suspendre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Conditions, portée et reprise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Soumettre une preuve</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Clé dédiée, domaine, expiration</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Gérer les secrets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Coffre, rotation, moindre privilège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Restaurer les services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Procédure testée et double contrôle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bl>
    <w:p>
      <w:pPr>
        <w:spacing w:after="40"/>
      </w:pPr>
    </w:p>
    <w:p>
      <w:pPr>
        <w:pStyle w:val="Heading2"/>
      </w:pPr>
      <w:r>
        <w:t>Registre des identités privilégiées</w:t>
      </w:r>
    </w:p>
    <w:tbl>
      <w:tblPr>
        <w:tblStyle w:val="TableGrid"/>
        <w:tblW w:type="dxa" w:w="9500"/>
        <w:jc w:val="left"/>
        <w:tblLayout w:type="fixed"/>
        <w:tblLook w:firstColumn="1" w:firstRow="1" w:lastColumn="0" w:lastRow="0" w:noHBand="0" w:noVBand="1" w:val="04A0"/>
        <w:tblInd w:w="120" w:type="dxa"/>
      </w:tblPr>
      <w:tblGrid>
        <w:gridCol w:w="1500"/>
        <w:gridCol w:w="2200"/>
        <w:gridCol w:w="2200"/>
        <w:gridCol w:w="2100"/>
        <w:gridCol w:w="15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ADRESSE / COMPTE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MÉCANISME</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RÉVOCATION</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Admin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EOA / multisig / autre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Upgrader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Pauser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Collector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r>
        <w:br w:type="page"/>
      </w:r>
    </w:p>
    <w:p>
      <w:pPr>
        <w:keepNext/>
        <w:spacing w:before="440" w:after="100"/>
      </w:pPr>
      <w:r>
        <w:rPr>
          <w:rFonts w:ascii="Arial" w:hAnsi="Arial" w:eastAsia="Arial"/>
          <w:b/>
          <w:color w:val="C6A15B"/>
          <w:sz w:val="16"/>
        </w:rPr>
        <w:t>CHAPITRE 08</w:t>
      </w:r>
    </w:p>
    <w:p>
      <w:pPr>
        <w:pStyle w:val="Heading1"/>
        <w:pageBreakBefore w:val="0"/>
      </w:pPr>
      <w:r>
        <w:t>Dépendances et build reproductible</w:t>
      </w:r>
    </w:p>
    <w:p>
      <w:pPr>
        <w:keepNext/>
        <w:spacing w:after="320"/>
      </w:pPr>
      <w:r>
        <w:rPr>
          <w:rFonts w:ascii="Arial" w:hAnsi="Arial" w:eastAsia="Arial"/>
          <w:i/>
          <w:color w:val="66736B"/>
          <w:sz w:val="25"/>
        </w:rPr>
        <w:t>Permettre à un tiers de reconstruire exactement les artefacts examinés.</w:t>
      </w:r>
    </w:p>
    <w:tbl>
      <w:tblPr>
        <w:tblStyle w:val="TableGrid"/>
        <w:tblW w:type="dxa" w:w="9500"/>
        <w:jc w:val="left"/>
        <w:tblLayout w:type="fixed"/>
        <w:tblLook w:firstColumn="1" w:firstRow="1" w:lastColumn="0" w:lastRow="0" w:noHBand="0" w:noVBand="1" w:val="04A0"/>
        <w:tblInd w:w="120" w:type="dxa"/>
      </w:tblPr>
      <w:tblGrid>
        <w:gridCol w:w="2700"/>
        <w:gridCol w:w="5000"/>
        <w:gridCol w:w="1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 ATTENDUE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Environnement</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OS / image, runtime, compilateur et versions exactes</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Dépendances</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Lockfile, sources, licences et checksums</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Build propre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Commande unique depuis un clone vierge</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Déterminisme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Comparaison des artefacts sur deux environnements</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Bytecode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Correspondance source → artefact → on-chain</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Secrets</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Absence de secret dans dépôt, historique et artefacts</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Analyse statique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Outils, versions, configuration et résultats</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SBOM</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Inventaire machine-readable des composants</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bl>
    <w:p>
      <w:pPr>
        <w:spacing w:after="40"/>
      </w:pPr>
    </w:p>
    <w:p>
      <w:pPr>
        <w:pStyle w:val="Heading2"/>
      </w:pPr>
      <w:r>
        <w:t>Commandes de référence à joindre</w:t>
      </w:r>
    </w:p>
    <w:p>
      <w:pPr>
        <w:numPr>
          <w:ilvl w:val="0"/>
          <w:numId w:val="17"/>
        </w:numPr>
        <w:spacing w:after="80" w:line="283" w:lineRule="auto"/>
      </w:pPr>
      <w:r>
        <w:rPr>
          <w:rFonts w:ascii="Arial" w:hAnsi="Arial" w:eastAsia="Arial"/>
          <w:color w:val="162019"/>
          <w:sz w:val="20"/>
        </w:rPr>
        <w:t>Installation déterministe des dépendances.</w:t>
      </w:r>
    </w:p>
    <w:p>
      <w:pPr>
        <w:numPr>
          <w:ilvl w:val="0"/>
          <w:numId w:val="17"/>
        </w:numPr>
        <w:spacing w:after="80" w:line="283" w:lineRule="auto"/>
      </w:pPr>
      <w:r>
        <w:rPr>
          <w:rFonts w:ascii="Arial" w:hAnsi="Arial" w:eastAsia="Arial"/>
          <w:color w:val="162019"/>
          <w:sz w:val="20"/>
        </w:rPr>
        <w:t>Compilation complète et génération des artefacts.</w:t>
      </w:r>
    </w:p>
    <w:p>
      <w:pPr>
        <w:numPr>
          <w:ilvl w:val="0"/>
          <w:numId w:val="17"/>
        </w:numPr>
        <w:spacing w:after="80" w:line="283" w:lineRule="auto"/>
      </w:pPr>
      <w:r>
        <w:rPr>
          <w:rFonts w:ascii="Arial" w:hAnsi="Arial" w:eastAsia="Arial"/>
          <w:color w:val="162019"/>
          <w:sz w:val="20"/>
        </w:rPr>
        <w:t>Exécution des tests unitaires, d’intégration, fuzz et invariants.</w:t>
      </w:r>
    </w:p>
    <w:p>
      <w:pPr>
        <w:numPr>
          <w:ilvl w:val="0"/>
          <w:numId w:val="17"/>
        </w:numPr>
        <w:spacing w:after="80" w:line="283" w:lineRule="auto"/>
      </w:pPr>
      <w:r>
        <w:rPr>
          <w:rFonts w:ascii="Arial" w:hAnsi="Arial" w:eastAsia="Arial"/>
          <w:color w:val="162019"/>
          <w:sz w:val="20"/>
        </w:rPr>
        <w:t>Déploiement local puis Base Sepolia avec paramètres explicites.</w:t>
      </w:r>
    </w:p>
    <w:p>
      <w:pPr>
        <w:numPr>
          <w:ilvl w:val="0"/>
          <w:numId w:val="17"/>
        </w:numPr>
        <w:spacing w:after="80" w:line="283" w:lineRule="auto"/>
      </w:pPr>
      <w:r>
        <w:rPr>
          <w:rFonts w:ascii="Arial" w:hAnsi="Arial" w:eastAsia="Arial"/>
          <w:color w:val="162019"/>
          <w:sz w:val="20"/>
        </w:rPr>
        <w:t>Vérification du code source et rapprochement du bytecode.</w:t>
      </w:r>
    </w:p>
    <w:p>
      <w:r>
        <w:br w:type="page"/>
      </w:r>
    </w:p>
    <w:p>
      <w:pPr>
        <w:keepNext/>
        <w:spacing w:before="440" w:after="100"/>
      </w:pPr>
      <w:r>
        <w:rPr>
          <w:rFonts w:ascii="Arial" w:hAnsi="Arial" w:eastAsia="Arial"/>
          <w:b/>
          <w:color w:val="C6A15B"/>
          <w:sz w:val="16"/>
        </w:rPr>
        <w:t>CHAPITRE 09</w:t>
      </w:r>
    </w:p>
    <w:p>
      <w:pPr>
        <w:pStyle w:val="Heading1"/>
        <w:pageBreakBefore w:val="0"/>
      </w:pPr>
      <w:r>
        <w:t>Matrice des preuves de test</w:t>
      </w:r>
    </w:p>
    <w:p>
      <w:pPr>
        <w:keepNext/>
        <w:spacing w:after="320"/>
      </w:pPr>
      <w:r>
        <w:rPr>
          <w:rFonts w:ascii="Arial" w:hAnsi="Arial" w:eastAsia="Arial"/>
          <w:i/>
          <w:color w:val="66736B"/>
          <w:sz w:val="25"/>
        </w:rPr>
        <w:t>Séparer le statut annoncé des éléments reproductibles remis à l’auditeur.</w:t>
      </w:r>
    </w:p>
    <w:tbl>
      <w:tblPr>
        <w:tblStyle w:val="TableGrid"/>
        <w:tblW w:type="dxa" w:w="9500"/>
        <w:jc w:val="left"/>
        <w:tblLayout w:type="fixed"/>
        <w:tblLook w:firstColumn="1" w:firstRow="1" w:lastColumn="0" w:lastRow="0" w:noHBand="0" w:noVBand="1" w:val="04A0"/>
        <w:tblInd w:w="120" w:type="dxa"/>
      </w:tblPr>
      <w:tblGrid>
        <w:gridCol w:w="1900"/>
        <w:gridCol w:w="2200"/>
        <w:gridCol w:w="3000"/>
        <w:gridCol w:w="2400"/>
      </w:tblGrid>
      <w:tr>
        <w:trPr>
          <w:tblHeader w:val="true"/>
          <w:cantSplit/>
        </w:trPr>
        <w:tc>
          <w:tcPr>
            <w:tcW w:type="dxa" w:w="1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FAMILLE</w:t>
            </w:r>
          </w:p>
        </w:tc>
        <w:tc>
          <w:tcPr>
            <w:tcW w:type="dxa" w:w="2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 CONNU</w:t>
            </w:r>
          </w:p>
        </w:tc>
        <w:tc>
          <w:tcPr>
            <w:tcW w:type="dxa" w:w="3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À JOINDRE</w:t>
            </w:r>
          </w:p>
        </w:tc>
        <w:tc>
          <w:tcPr>
            <w:tcW w:type="dxa" w:w="2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3B</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interne documenté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Rapport, date, commit, logs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 reproductible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3.E Human Pilot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déclaré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Rapport signé et scénarios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Pièce formelle disponible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Release Candidate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déclaré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Gate signée, commit et réserves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 identique au gel</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Tests unitaires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Commande, sortie brute, cas couverts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Tous verts sur commit gelé</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Intégration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 fixtures, résultats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Parcours nominaux et erreurs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Fuzzing</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Seeds, durée, corpus, crashes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invariant violé</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Invariants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Liste codée et résultats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Propriétés INV-01 à INV-09</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Couverture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Outil, rapport et exclusions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Seuil à convenir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Performance / DoS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Limites de gas, charge, files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Bornes définies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Reorg / reprise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fourni</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Scénario de réconciliation</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cohérent après reprise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IMPORTANT</w:t>
        <w:br/>
      </w:r>
      <w:r>
        <w:rPr>
          <w:rFonts w:ascii="Arial" w:hAnsi="Arial" w:eastAsia="Arial"/>
          <w:b w:val="0"/>
          <w:color w:val="162019"/>
          <w:sz w:val="20"/>
        </w:rPr>
        <w:t>Un indicateur de couverture élevé ne démontre pas la qualité des assertions. L’auditeur doit recevoir les scénarios négatifs, les invariants et les résultats bruts, pas uniquement un pourcentage.</w:t>
      </w:r>
    </w:p>
    <w:p>
      <w:r>
        <w:br w:type="page"/>
      </w:r>
    </w:p>
    <w:p>
      <w:pPr>
        <w:keepNext/>
        <w:spacing w:before="440" w:after="100"/>
      </w:pPr>
      <w:r>
        <w:rPr>
          <w:rFonts w:ascii="Arial" w:hAnsi="Arial" w:eastAsia="Arial"/>
          <w:b/>
          <w:color w:val="C6A15B"/>
          <w:sz w:val="16"/>
        </w:rPr>
        <w:t>CHAPITRE 10</w:t>
      </w:r>
    </w:p>
    <w:p>
      <w:pPr>
        <w:pStyle w:val="Heading1"/>
        <w:pageBreakBefore w:val="0"/>
      </w:pPr>
      <w:r>
        <w:t>Registre de déploiement Base Sepolia</w:t>
      </w:r>
    </w:p>
    <w:p>
      <w:pPr>
        <w:keepNext/>
        <w:spacing w:after="320"/>
      </w:pPr>
      <w:r>
        <w:rPr>
          <w:rFonts w:ascii="Arial" w:hAnsi="Arial" w:eastAsia="Arial"/>
          <w:i/>
          <w:color w:val="66736B"/>
          <w:sz w:val="25"/>
        </w:rPr>
        <w:t>Relier chaque composant audité à son identité on-chain et à ses paramètres effectifs.</w:t>
      </w:r>
    </w:p>
    <w:tbl>
      <w:tblPr>
        <w:tblStyle w:val="TableGrid"/>
        <w:tblW w:type="dxa" w:w="9500"/>
        <w:jc w:val="left"/>
        <w:tblLayout w:type="fixed"/>
        <w:tblLook w:firstColumn="1" w:firstRow="1" w:lastColumn="0" w:lastRow="0" w:noHBand="0" w:noVBand="1" w:val="04A0"/>
        <w:tblInd w:w="120" w:type="dxa"/>
      </w:tblPr>
      <w:tblGrid>
        <w:gridCol w:w="2000"/>
        <w:gridCol w:w="2000"/>
        <w:gridCol w:w="2000"/>
        <w:gridCol w:w="1800"/>
        <w:gridCol w:w="17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CONTRAT / PROXY</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ADRESSE</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IMPLÉMENTATION</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TX / BLOC</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BYTECODE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PRODUIRE</w:t>
            </w:r>
          </w:p>
        </w:tc>
      </w:tr>
    </w:tbl>
    <w:p>
      <w:pPr>
        <w:spacing w:after="40"/>
      </w:pPr>
    </w:p>
    <w:p>
      <w:pPr>
        <w:pStyle w:val="Heading2"/>
      </w:pPr>
      <w:r>
        <w:t>Métadonnées obligatoires</w:t>
      </w:r>
    </w:p>
    <w:tbl>
      <w:tblPr>
        <w:tblStyle w:val="TableGrid"/>
        <w:tblW w:type="dxa" w:w="9500"/>
        <w:jc w:val="left"/>
        <w:tblLayout w:type="fixed"/>
        <w:tblLook w:firstColumn="1" w:firstRow="1" w:lastColumn="0" w:lastRow="0" w:noHBand="0" w:noVBand="1" w:val="04A0"/>
        <w:tblInd w:w="120" w:type="dxa"/>
      </w:tblPr>
      <w:tblGrid>
        <w:gridCol w:w="3400"/>
        <w:gridCol w:w="6100"/>
      </w:tblGrid>
      <w:tr>
        <w:trPr>
          <w:tblHeader w:val="true"/>
          <w:cantSplit/>
        </w:trPr>
        <w:tc>
          <w:tcPr>
            <w:tcW w:type="dxa" w:w="34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Réseau</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Base Sepolia</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Chain ID</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84532</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RPC utilisé lors du déploiement</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 — ne pas exposer de secret</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Déployeur</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Solde / financement</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Paramètres du constructeur / initializer</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Rôles après déploiement</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Vérification explorateur</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Rapprochement artefact local</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PRODUIRE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RESTRICTION</w:t>
        <w:br/>
      </w:r>
      <w:r>
        <w:rPr>
          <w:rFonts w:ascii="Arial" w:hAnsi="Arial" w:eastAsia="Arial"/>
          <w:b w:val="0"/>
          <w:color w:val="162019"/>
          <w:sz w:val="20"/>
        </w:rPr>
        <w:t>Ce registre de testnet ne constitue pas une autorisation de déploiement mainnet et ne permet aucune revendication de disponibilité en production.</w:t>
      </w:r>
    </w:p>
    <w:p>
      <w:r>
        <w:br w:type="page"/>
      </w:r>
    </w:p>
    <w:p>
      <w:pPr>
        <w:keepNext/>
        <w:spacing w:before="440" w:after="100"/>
      </w:pPr>
      <w:r>
        <w:rPr>
          <w:rFonts w:ascii="Arial" w:hAnsi="Arial" w:eastAsia="Arial"/>
          <w:b/>
          <w:color w:val="C6A15B"/>
          <w:sz w:val="16"/>
        </w:rPr>
        <w:t>CHAPITRE 11</w:t>
      </w:r>
    </w:p>
    <w:p>
      <w:pPr>
        <w:pStyle w:val="Heading1"/>
        <w:pageBreakBefore w:val="0"/>
      </w:pPr>
      <w:r>
        <w:t>Modèle de menace et registre des risques</w:t>
      </w:r>
    </w:p>
    <w:p>
      <w:pPr>
        <w:keepNext/>
        <w:spacing w:after="320"/>
      </w:pPr>
      <w:r>
        <w:rPr>
          <w:rFonts w:ascii="Arial" w:hAnsi="Arial" w:eastAsia="Arial"/>
          <w:i/>
          <w:color w:val="66736B"/>
          <w:sz w:val="25"/>
        </w:rPr>
        <w:t>Prioriser les scénarios capables de fausser une décision, d’étendre une conséquence ou de rompre la traçabilité.</w:t>
      </w:r>
    </w:p>
    <w:tbl>
      <w:tblPr>
        <w:tblStyle w:val="TableGrid"/>
        <w:tblW w:type="dxa" w:w="9500"/>
        <w:jc w:val="left"/>
        <w:tblLayout w:type="fixed"/>
        <w:tblLook w:firstColumn="1" w:firstRow="1" w:lastColumn="0" w:lastRow="0" w:noHBand="0" w:noVBand="1" w:val="04A0"/>
        <w:tblInd w:w="120" w:type="dxa"/>
      </w:tblPr>
      <w:tblGrid>
        <w:gridCol w:w="1900"/>
        <w:gridCol w:w="1200"/>
        <w:gridCol w:w="3000"/>
        <w:gridCol w:w="3400"/>
      </w:tblGrid>
      <w:tr>
        <w:trPr>
          <w:tblHeader w:val="true"/>
          <w:cantSplit/>
        </w:trPr>
        <w:tc>
          <w:tcPr>
            <w:tcW w:type="dxa" w:w="1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1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3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SCÉNARIO</w:t>
            </w:r>
          </w:p>
        </w:tc>
        <w:tc>
          <w:tcPr>
            <w:tcW w:type="dxa" w:w="34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TRAITEMENT ATTENDU</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mal classée</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ÉLEVÉ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Format valide mais signification incorrecte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Schémas, règles et revue humaine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 compromis</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CRITIQUE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Soumission de preuves fabriquées</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Clés dédiées, quorum, révocation</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Clé privilégiée compromise</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CRITIQUE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Modification ou suspension abusive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Multisig, délai, rotation</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 trompeur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ÉLEVÉ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incomplet ou censuré</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Multi-RPC, comparaison, alertes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Rejeu</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ÉLEVÉ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Réutilisation d’une preuve valide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Nonce, domaine, expiration</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Réorganisation</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ÉLEVÉ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sur événement non final</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Seuil de finalité, réconciliation</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Upgrade non autorisé</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CRITIQUE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Changement de logique après revue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Contrôle d’accès, délai, hash</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Conséquence non bornée</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CRITIQUE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Perte supérieure à l’accord</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Cap, préfinancement, invariant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 vulnérable</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ÉLEVÉ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Faille transitive ou supply chain</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Lockfile, SBOM, scans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 physique fausse</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ÉLEVÉ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Attestation authentique d’un fait erroné</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Limites explicites, pluralité des sources</w:t>
            </w:r>
          </w:p>
        </w:tc>
      </w:tr>
    </w:tbl>
    <w:p>
      <w:pPr>
        <w:spacing w:after="40"/>
      </w:pPr>
    </w:p>
    <w:p>
      <w:pPr>
        <w:pStyle w:val="Heading2"/>
      </w:pPr>
      <w:r>
        <w:t>Hypothèses à faire valider</w:t>
      </w:r>
    </w:p>
    <w:p>
      <w:pPr>
        <w:spacing w:after="140" w:line="307" w:lineRule="auto"/>
      </w:pPr>
      <w:r>
        <w:rPr>
          <w:rFonts w:ascii="Arial" w:hAnsi="Arial" w:eastAsia="Arial"/>
          <w:i w:val="0"/>
          <w:color w:val="162019"/>
          <w:sz w:val="20"/>
        </w:rPr>
        <w:t>À RENSEIGNER : valeur maximale exposée, adversaires considérés, seuils de confiance, disponibilité requise, finalité minimale, nombre de collecteurs, tolérance aux fautes et dépendances réputées fiables.</w:t>
      </w:r>
    </w:p>
    <w:p>
      <w:r>
        <w:br w:type="page"/>
      </w:r>
    </w:p>
    <w:p>
      <w:pPr>
        <w:keepNext/>
        <w:spacing w:before="440" w:after="100"/>
      </w:pPr>
      <w:r>
        <w:rPr>
          <w:rFonts w:ascii="Arial" w:hAnsi="Arial" w:eastAsia="Arial"/>
          <w:b/>
          <w:color w:val="C6A15B"/>
          <w:sz w:val="16"/>
        </w:rPr>
        <w:t>CHAPITRE 12</w:t>
      </w:r>
    </w:p>
    <w:p>
      <w:pPr>
        <w:pStyle w:val="Heading1"/>
        <w:pageBreakBefore w:val="0"/>
      </w:pPr>
      <w:r>
        <w:t>Exploitation et réponse aux incidents</w:t>
      </w:r>
    </w:p>
    <w:p>
      <w:pPr>
        <w:keepNext/>
        <w:spacing w:after="320"/>
      </w:pPr>
      <w:r>
        <w:rPr>
          <w:rFonts w:ascii="Arial" w:hAnsi="Arial" w:eastAsia="Arial"/>
          <w:i/>
          <w:color w:val="66736B"/>
          <w:sz w:val="25"/>
        </w:rPr>
        <w:t>Une implémentation correcte ne suffit pas si les clés, alertes et procédures ne sont pas maîtrisées.</w:t>
      </w:r>
    </w:p>
    <w:tbl>
      <w:tblPr>
        <w:tblStyle w:val="TableGrid"/>
        <w:tblW w:type="dxa" w:w="9500"/>
        <w:jc w:val="left"/>
        <w:tblLayout w:type="fixed"/>
        <w:tblLook w:firstColumn="1" w:firstRow="1" w:lastColumn="0" w:lastRow="0" w:noHBand="0" w:noVBand="1" w:val="04A0"/>
        <w:tblInd w:w="120" w:type="dxa"/>
      </w:tblPr>
      <w:tblGrid>
        <w:gridCol w:w="2200"/>
        <w:gridCol w:w="4900"/>
        <w:gridCol w:w="24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CAPACITÉ</w:t>
            </w:r>
          </w:p>
        </w:tc>
        <w:tc>
          <w:tcPr>
            <w:tcW w:type="dxa" w:w="4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ATTENDU AVANT AUDIT</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Monitoring</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État des contrats, indexer, collecteurs, RPC et files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Dashboards / règles à produire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Alertes</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Rôles modifiés, pause, erreurs, divergence, latence, reorg</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Canaux et seuils à produire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Journalisation</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Événements corrélables sans secret</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Exemple de trace bout en bout</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Gestion des clés</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Création, stockage, rotation, révocation</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Politique et exercice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Sauvegarde</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Données, configurations et fréquence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Rapport de restauration</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Reprise</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RTO/RPO, ordre de démarrage, réconciliation</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Runbook testé</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Pause</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Déclencheurs, pouvoirs, portée et sortie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Procédure approuvée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Communication</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Escalade interne et notification externe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Matrice de contacts</w:t>
            </w:r>
          </w:p>
        </w:tc>
      </w:tr>
    </w:tbl>
    <w:p>
      <w:pPr>
        <w:spacing w:after="40"/>
      </w:pPr>
    </w:p>
    <w:p>
      <w:pPr>
        <w:pStyle w:val="Heading2"/>
      </w:pPr>
      <w:r>
        <w:t>Séquence minimale d’incident</w:t>
      </w:r>
    </w:p>
    <w:p>
      <w:pPr>
        <w:numPr>
          <w:ilvl w:val="0"/>
          <w:numId w:val="18"/>
        </w:numPr>
        <w:spacing w:after="80" w:line="283" w:lineRule="auto"/>
      </w:pPr>
      <w:r>
        <w:rPr>
          <w:rFonts w:ascii="Arial" w:hAnsi="Arial" w:eastAsia="Arial"/>
          <w:color w:val="162019"/>
          <w:sz w:val="20"/>
        </w:rPr>
        <w:t>Détecter et qualifier l’événement sans altérer les preuves.</w:t>
      </w:r>
    </w:p>
    <w:p>
      <w:pPr>
        <w:numPr>
          <w:ilvl w:val="0"/>
          <w:numId w:val="18"/>
        </w:numPr>
        <w:spacing w:after="80" w:line="283" w:lineRule="auto"/>
      </w:pPr>
      <w:r>
        <w:rPr>
          <w:rFonts w:ascii="Arial" w:hAnsi="Arial" w:eastAsia="Arial"/>
          <w:color w:val="162019"/>
          <w:sz w:val="20"/>
        </w:rPr>
        <w:t>Limiter l’impact selon une autorité préapprouvée.</w:t>
      </w:r>
    </w:p>
    <w:p>
      <w:pPr>
        <w:numPr>
          <w:ilvl w:val="0"/>
          <w:numId w:val="18"/>
        </w:numPr>
        <w:spacing w:after="80" w:line="283" w:lineRule="auto"/>
      </w:pPr>
      <w:r>
        <w:rPr>
          <w:rFonts w:ascii="Arial" w:hAnsi="Arial" w:eastAsia="Arial"/>
          <w:color w:val="162019"/>
          <w:sz w:val="20"/>
        </w:rPr>
        <w:t>Préserver les logs, versions, clés concernées et horodatages.</w:t>
      </w:r>
    </w:p>
    <w:p>
      <w:pPr>
        <w:numPr>
          <w:ilvl w:val="0"/>
          <w:numId w:val="18"/>
        </w:numPr>
        <w:spacing w:after="80" w:line="283" w:lineRule="auto"/>
      </w:pPr>
      <w:r>
        <w:rPr>
          <w:rFonts w:ascii="Arial" w:hAnsi="Arial" w:eastAsia="Arial"/>
          <w:color w:val="162019"/>
          <w:sz w:val="20"/>
        </w:rPr>
        <w:t>Corriger, tester puis restaurer par une procédure contrôlée.</w:t>
      </w:r>
    </w:p>
    <w:p>
      <w:pPr>
        <w:numPr>
          <w:ilvl w:val="0"/>
          <w:numId w:val="18"/>
        </w:numPr>
        <w:spacing w:after="80" w:line="283" w:lineRule="auto"/>
      </w:pPr>
      <w:r>
        <w:rPr>
          <w:rFonts w:ascii="Arial" w:hAnsi="Arial" w:eastAsia="Arial"/>
          <w:color w:val="162019"/>
          <w:sz w:val="20"/>
        </w:rPr>
        <w:t>Réaliser une analyse causale et suivre les actions jusqu’à clôture.</w:t>
      </w:r>
    </w:p>
    <w:p>
      <w:r>
        <w:br w:type="page"/>
      </w:r>
    </w:p>
    <w:p>
      <w:pPr>
        <w:keepNext/>
        <w:spacing w:before="440" w:after="100"/>
      </w:pPr>
      <w:r>
        <w:rPr>
          <w:rFonts w:ascii="Arial" w:hAnsi="Arial" w:eastAsia="Arial"/>
          <w:b/>
          <w:color w:val="C6A15B"/>
          <w:sz w:val="16"/>
        </w:rPr>
        <w:t>CHAPITRE 13</w:t>
      </w:r>
    </w:p>
    <w:p>
      <w:pPr>
        <w:pStyle w:val="Heading1"/>
        <w:pageBreakBefore w:val="0"/>
      </w:pPr>
      <w:r>
        <w:t>Gestion des constats et remédiations</w:t>
      </w:r>
    </w:p>
    <w:p>
      <w:pPr>
        <w:keepNext/>
        <w:spacing w:after="320"/>
      </w:pPr>
      <w:r>
        <w:rPr>
          <w:rFonts w:ascii="Arial" w:hAnsi="Arial" w:eastAsia="Arial"/>
          <w:i/>
          <w:color w:val="66736B"/>
          <w:sz w:val="25"/>
        </w:rPr>
        <w:t>Éviter qu’une correction non tracée crée une seconde version impossible à rapprocher du rapport.</w:t>
      </w:r>
    </w:p>
    <w:tbl>
      <w:tblPr>
        <w:tblStyle w:val="TableGrid"/>
        <w:tblW w:type="dxa" w:w="9500"/>
        <w:jc w:val="left"/>
        <w:tblLayout w:type="fixed"/>
        <w:tblLook w:firstColumn="1" w:firstRow="1" w:lastColumn="0" w:lastRow="0" w:noHBand="0" w:noVBand="1" w:val="04A0"/>
        <w:tblInd w:w="120" w:type="dxa"/>
      </w:tblPr>
      <w:tblGrid>
        <w:gridCol w:w="1500"/>
        <w:gridCol w:w="5200"/>
        <w:gridCol w:w="2800"/>
      </w:tblGrid>
      <w:tr>
        <w:trPr>
          <w:tblHeader w:val="true"/>
          <w:cantSplit/>
        </w:trPr>
        <w:tc>
          <w:tcPr>
            <w:tcW w:type="dxa" w:w="1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SÉVÉRITÉ</w:t>
            </w:r>
          </w:p>
        </w:tc>
        <w:tc>
          <w:tcPr>
            <w:tcW w:type="dxa" w:w="52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DÉFINITION DE TRAVAIL</w:t>
            </w:r>
          </w:p>
        </w:tc>
        <w:tc>
          <w:tcPr>
            <w:tcW w:type="dxa" w:w="2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ATTENDUE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Critique</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Compromission directe, perte non bornée ou contrôle complet plausible.</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Bloquant ; correction et retest obligatoires</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Élevée</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Impact majeur avec conditions réalistes ou contrôle important contourné.</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Bloquant sauf acceptation exceptionnelle écrite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Moyenne</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Impact limité, conditions plus fortes ou défense en profondeur insuffisante.</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Plan daté et décision documentée</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Faible</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Risque réduit, durcissement ou qualité affectant indirectement la sécurité.</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Suivi dans le backlog contrôlé</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Information</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Observation sans vulnérabilité démontrée.</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Réponse ou justification</w:t>
            </w:r>
          </w:p>
        </w:tc>
      </w:tr>
    </w:tbl>
    <w:p>
      <w:pPr>
        <w:spacing w:after="40"/>
      </w:pPr>
    </w:p>
    <w:p>
      <w:pPr>
        <w:pStyle w:val="Heading2"/>
      </w:pPr>
      <w:r>
        <w:t>Registre de suivi</w:t>
      </w:r>
    </w:p>
    <w:tbl>
      <w:tblPr>
        <w:tblStyle w:val="TableGrid"/>
        <w:tblW w:type="dxa" w:w="9500"/>
        <w:jc w:val="left"/>
        <w:tblLayout w:type="fixed"/>
        <w:tblLook w:firstColumn="1" w:firstRow="1" w:lastColumn="0" w:lastRow="0" w:noHBand="0" w:noVBand="1" w:val="04A0"/>
        <w:tblInd w:w="120" w:type="dxa"/>
      </w:tblPr>
      <w:tblGrid>
        <w:gridCol w:w="900"/>
        <w:gridCol w:w="1300"/>
        <w:gridCol w:w="1800"/>
        <w:gridCol w:w="2500"/>
        <w:gridCol w:w="1400"/>
        <w:gridCol w:w="1600"/>
      </w:tblGrid>
      <w:tr>
        <w:trPr>
          <w:tblHeader w:val="true"/>
          <w:cantSplit/>
        </w:trPr>
        <w:tc>
          <w:tcPr>
            <w:tcW w:type="dxa" w:w="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SÉVÉRITÉ</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RESPONSABLE</w:t>
            </w:r>
          </w:p>
        </w:tc>
        <w:tc>
          <w:tcPr>
            <w:tcW w:type="dxa" w:w="2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CORRECTION / COMMIT</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RETEST</w:t>
            </w:r>
          </w:p>
        </w:tc>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Ouvert / corrigé / accepté</w:t>
            </w:r>
          </w:p>
        </w:tc>
      </w:tr>
      <w:tr>
        <w:trPr>
          <w:cantSplit/>
        </w:trPr>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r>
      <w:tr>
        <w:trPr>
          <w:cantSplit/>
        </w:trPr>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VERSION DE RÉFÉRENCE</w:t>
        <w:br/>
      </w:r>
      <w:r>
        <w:rPr>
          <w:rFonts w:ascii="Arial" w:hAnsi="Arial" w:eastAsia="Arial"/>
          <w:b w:val="0"/>
          <w:color w:val="162019"/>
          <w:sz w:val="20"/>
        </w:rPr>
        <w:t>Le rapport final doit désigner le commit revu, les corrections examinées, les constats non résolus et les limites de la mission. Une correction postérieure n’est couverte que si elle est explicitement retestée.</w:t>
      </w:r>
    </w:p>
    <w:p>
      <w:r>
        <w:br w:type="page"/>
      </w:r>
    </w:p>
    <w:p>
      <w:pPr>
        <w:keepNext/>
        <w:spacing w:before="440" w:after="100"/>
      </w:pPr>
      <w:r>
        <w:rPr>
          <w:rFonts w:ascii="Arial" w:hAnsi="Arial" w:eastAsia="Arial"/>
          <w:b/>
          <w:color w:val="C6A15B"/>
          <w:sz w:val="16"/>
        </w:rPr>
        <w:t>CHAPITRE 14</w:t>
      </w:r>
    </w:p>
    <w:p>
      <w:pPr>
        <w:pStyle w:val="Heading1"/>
        <w:pageBreakBefore w:val="0"/>
      </w:pPr>
      <w:r>
        <w:t>Livrables attendus et gate de décision</w:t>
      </w:r>
    </w:p>
    <w:p>
      <w:pPr>
        <w:keepNext/>
        <w:spacing w:after="320"/>
      </w:pPr>
      <w:r>
        <w:rPr>
          <w:rFonts w:ascii="Arial" w:hAnsi="Arial" w:eastAsia="Arial"/>
          <w:i/>
          <w:color w:val="66736B"/>
          <w:sz w:val="25"/>
        </w:rPr>
        <w:t>Définir à l’avance ce qui permettra de dire “audit terminé” sans surpromesse.</w:t>
      </w:r>
    </w:p>
    <w:p>
      <w:pPr>
        <w:pStyle w:val="Heading2"/>
      </w:pPr>
      <w:r>
        <w:t>Livrables de l’auditeur</w:t>
      </w:r>
    </w:p>
    <w:p>
      <w:pPr>
        <w:numPr>
          <w:ilvl w:val="0"/>
          <w:numId w:val="16"/>
        </w:numPr>
        <w:spacing w:after="80" w:line="283" w:lineRule="auto"/>
      </w:pPr>
      <w:r>
        <w:rPr>
          <w:rFonts w:ascii="Arial" w:hAnsi="Arial" w:eastAsia="Arial"/>
          <w:color w:val="162019"/>
          <w:sz w:val="20"/>
        </w:rPr>
        <w:t>Rapport daté et signé identifiant l’entité auditrice et les intervenants.</w:t>
      </w:r>
    </w:p>
    <w:p>
      <w:pPr>
        <w:numPr>
          <w:ilvl w:val="0"/>
          <w:numId w:val="16"/>
        </w:numPr>
        <w:spacing w:after="80" w:line="283" w:lineRule="auto"/>
      </w:pPr>
      <w:r>
        <w:rPr>
          <w:rFonts w:ascii="Arial" w:hAnsi="Arial" w:eastAsia="Arial"/>
          <w:color w:val="162019"/>
          <w:sz w:val="20"/>
        </w:rPr>
        <w:t>Périmètre exact : dépôts, commits, contrats, adresses, configurations et exclusions.</w:t>
      </w:r>
    </w:p>
    <w:p>
      <w:pPr>
        <w:numPr>
          <w:ilvl w:val="0"/>
          <w:numId w:val="16"/>
        </w:numPr>
        <w:spacing w:after="80" w:line="283" w:lineRule="auto"/>
      </w:pPr>
      <w:r>
        <w:rPr>
          <w:rFonts w:ascii="Arial" w:hAnsi="Arial" w:eastAsia="Arial"/>
          <w:color w:val="162019"/>
          <w:sz w:val="20"/>
        </w:rPr>
        <w:t>Méthodes utilisées, hypothèses, limitations et durée de la revue.</w:t>
      </w:r>
    </w:p>
    <w:p>
      <w:pPr>
        <w:numPr>
          <w:ilvl w:val="0"/>
          <w:numId w:val="16"/>
        </w:numPr>
        <w:spacing w:after="80" w:line="283" w:lineRule="auto"/>
      </w:pPr>
      <w:r>
        <w:rPr>
          <w:rFonts w:ascii="Arial" w:hAnsi="Arial" w:eastAsia="Arial"/>
          <w:color w:val="162019"/>
          <w:sz w:val="20"/>
        </w:rPr>
        <w:t>Liste des constats avec sévérité, impact, preuve, recommandation et statut.</w:t>
      </w:r>
    </w:p>
    <w:p>
      <w:pPr>
        <w:numPr>
          <w:ilvl w:val="0"/>
          <w:numId w:val="16"/>
        </w:numPr>
        <w:spacing w:after="80" w:line="283" w:lineRule="auto"/>
      </w:pPr>
      <w:r>
        <w:rPr>
          <w:rFonts w:ascii="Arial" w:hAnsi="Arial" w:eastAsia="Arial"/>
          <w:color w:val="162019"/>
          <w:sz w:val="20"/>
        </w:rPr>
        <w:t>Résultat du retest et identification des corrections effectivement examinées.</w:t>
      </w:r>
    </w:p>
    <w:p>
      <w:pPr>
        <w:numPr>
          <w:ilvl w:val="0"/>
          <w:numId w:val="16"/>
        </w:numPr>
        <w:spacing w:after="80" w:line="283" w:lineRule="auto"/>
      </w:pPr>
      <w:r>
        <w:rPr>
          <w:rFonts w:ascii="Arial" w:hAnsi="Arial" w:eastAsia="Arial"/>
          <w:color w:val="162019"/>
          <w:sz w:val="20"/>
        </w:rPr>
        <w:t>Résumé public distinct, si autorisé, dont chaque formulation est validée par écrit.</w:t>
      </w:r>
    </w:p>
    <w:p>
      <w:pPr>
        <w:pStyle w:val="Heading2"/>
      </w:pPr>
      <w:r>
        <w:t>Gate go / no-go après audit</w:t>
      </w:r>
    </w:p>
    <w:tbl>
      <w:tblPr>
        <w:tblStyle w:val="TableGrid"/>
        <w:tblW w:type="dxa" w:w="9500"/>
        <w:jc w:val="left"/>
        <w:tblLayout w:type="fixed"/>
        <w:tblLook w:firstColumn="1" w:firstRow="1" w:lastColumn="0" w:lastRow="0" w:noHBand="0" w:noVBand="1" w:val="04A0"/>
        <w:tblInd w:w="120" w:type="dxa"/>
      </w:tblPr>
      <w:tblGrid>
        <w:gridCol w:w="2700"/>
        <w:gridCol w:w="4900"/>
        <w:gridCol w:w="19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4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Périmètre</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Le rapport couvre exactement la version candidate.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Critiques / élevées</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Aucun constat ouvert non accepté selon la politique.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Retest</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Les corrections bloquantes ont été retestées.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Opérations</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Monitoring, clés, sauvegarde, reprise et incident sont prêts.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Juridique / conformité</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Revue séparée réalisée pour le lancement envisagé.</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Marché / usage</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Le périmètre de mise en service reste borné et justifié.</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Communication</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Aucune formulation ne dépasse les conclusions du rapport.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VALIDER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ABSENCE D’AUTOMATICITÉ</w:t>
        <w:br/>
      </w:r>
      <w:r>
        <w:rPr>
          <w:rFonts w:ascii="Arial" w:hAnsi="Arial" w:eastAsia="Arial"/>
          <w:b w:val="0"/>
          <w:color w:val="162019"/>
          <w:sz w:val="20"/>
        </w:rPr>
        <w:t>Même un rapport favorable ne déclenche pas automatiquement un lancement mainnet. La décision finale doit intégrer sécurité, opérations, droit, conformité, exposition économique et validation de l’usage.</w:t>
      </w:r>
    </w:p>
    <w:p>
      <w:r>
        <w:br w:type="page"/>
      </w:r>
    </w:p>
    <w:p>
      <w:pPr>
        <w:keepNext/>
        <w:spacing w:before="440" w:after="100"/>
      </w:pPr>
      <w:r>
        <w:rPr>
          <w:rFonts w:ascii="Arial" w:hAnsi="Arial" w:eastAsia="Arial"/>
          <w:b/>
          <w:color w:val="C6A15B"/>
          <w:sz w:val="16"/>
        </w:rPr>
        <w:t>CHAPITRE 15</w:t>
      </w:r>
    </w:p>
    <w:p>
      <w:pPr>
        <w:pStyle w:val="Heading1"/>
        <w:pageBreakBefore w:val="0"/>
      </w:pPr>
      <w:r>
        <w:t>Index des preuves à remettre</w:t>
      </w:r>
    </w:p>
    <w:p>
      <w:pPr>
        <w:keepNext/>
        <w:spacing w:after="320"/>
      </w:pPr>
      <w:r>
        <w:rPr>
          <w:rFonts w:ascii="Arial" w:hAnsi="Arial" w:eastAsia="Arial"/>
          <w:i/>
          <w:color w:val="66736B"/>
          <w:sz w:val="25"/>
        </w:rPr>
        <w:t>Une salle de données minimale, numérotée et contrôlée par version.</w:t>
      </w:r>
    </w:p>
    <w:tbl>
      <w:tblPr>
        <w:tblStyle w:val="TableGrid"/>
        <w:tblW w:type="dxa" w:w="9500"/>
        <w:jc w:val="left"/>
        <w:tblLayout w:type="fixed"/>
        <w:tblLook w:firstColumn="1" w:firstRow="1" w:lastColumn="0" w:lastRow="0" w:noHBand="0" w:noVBand="1" w:val="04A0"/>
        <w:tblInd w:w="120" w:type="dxa"/>
      </w:tblPr>
      <w:tblGrid>
        <w:gridCol w:w="1000"/>
        <w:gridCol w:w="2300"/>
        <w:gridCol w:w="4300"/>
        <w:gridCol w:w="1900"/>
      </w:tblGrid>
      <w:tr>
        <w:trPr>
          <w:tblHeader w:val="true"/>
          <w:cantSplit/>
        </w:trPr>
        <w:tc>
          <w:tcPr>
            <w:tcW w:type="dxa" w:w="1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w:t>
            </w:r>
          </w:p>
        </w:tc>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c>
          <w:tcPr>
            <w:tcW w:type="dxa" w:w="4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FORMAT / CONTENU</w:t>
            </w:r>
          </w:p>
        </w:tc>
        <w:tc>
          <w:tcPr>
            <w:tcW w:type="dxa" w:w="1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E-01</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Fiche de gel</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Dépôt, commit, tag, compilateur, dépendances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E-02</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Inventaire in-scope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Composants, interfaces, exclusions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E-03</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Architecture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Diagramme, flux, frontières de confiance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E-04</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Modèle de menace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Actifs, adversaires, scénarios, hypothèses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E-05</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Matrice des rôles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Identités, pouvoirs, propriétaires, révocation</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E-06</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Build</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Instructions et artefacts reproductibles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E-07</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Sources, commandes, logs, couverture, fuzz, invariants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E-08</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3B</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interne et traces rattachées au commit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JOINDRE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E-09</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Human Pilot formel</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E-10</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Gate RC</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signée, version et réserves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FOURNI</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E-11</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 testnet</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Adresses, transactions, blocs, bytecodes, rôles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E-12</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Runbooks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Déploiement, pause, incident, reprise, rotation</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E-13</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Dépendances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Lockfile, SBOM, licences, scans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E-14</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Risques acceptés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Décideur, justification, durée, compensation</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PRODUIRE</w:t>
            </w:r>
          </w:p>
        </w:tc>
      </w:tr>
    </w:tbl>
    <w:p>
      <w:pPr>
        <w:spacing w:after="40"/>
      </w:pPr>
    </w:p>
    <w:p>
      <w:pPr>
        <w:pStyle w:val="Heading2"/>
      </w:pPr>
      <w:r>
        <w:t>Convention de classement</w:t>
      </w:r>
    </w:p>
    <w:p>
      <w:pPr>
        <w:spacing w:after="140" w:line="307" w:lineRule="auto"/>
      </w:pPr>
      <w:r>
        <w:rPr>
          <w:rFonts w:ascii="Arial" w:hAnsi="Arial" w:eastAsia="Arial"/>
          <w:i w:val="0"/>
          <w:color w:val="162019"/>
          <w:sz w:val="20"/>
        </w:rPr>
        <w:t>Nom recommandé : [référence]_[date UTC]_[version]_[intitulé]. Chaque pièce doit être en lecture seule, accompagnée de son checksum et reliée à un propriétaire. Les secrets, clés privées et identifiants d’accès ne doivent jamais être inclus.</w:t>
      </w:r>
    </w:p>
    <w:p>
      <w:r>
        <w:br w:type="page"/>
      </w:r>
    </w:p>
    <w:p>
      <w:pPr>
        <w:keepNext/>
        <w:spacing w:before="0" w:after="100"/>
      </w:pPr>
      <w:r>
        <w:rPr>
          <w:rFonts w:ascii="Arial" w:hAnsi="Arial" w:eastAsia="Arial"/>
          <w:b/>
          <w:color w:val="C6A15B"/>
          <w:sz w:val="16"/>
        </w:rPr>
        <w:t>VALIDATION INTERNE</w:t>
      </w:r>
    </w:p>
    <w:p>
      <w:pPr>
        <w:spacing w:after="280"/>
      </w:pPr>
      <w:r>
        <w:rPr>
          <w:rFonts w:ascii="Arial" w:hAnsi="Arial" w:eastAsia="Arial"/>
          <w:b/>
          <w:color w:val="06110B"/>
          <w:sz w:val="46"/>
        </w:rPr>
        <w:t>Autorisation de transmission à l’auditeur</w:t>
      </w:r>
    </w:p>
    <w:p>
      <w:pPr>
        <w:spacing w:after="140" w:line="307" w:lineRule="auto"/>
      </w:pPr>
      <w:r>
        <w:rPr>
          <w:rFonts w:ascii="Arial" w:hAnsi="Arial" w:eastAsia="Arial"/>
          <w:i w:val="0"/>
          <w:color w:val="162019"/>
          <w:sz w:val="20"/>
        </w:rPr>
        <w:t>Cette page ne valide pas la sécurité du système. Elle atteste uniquement que le périmètre proposé est compris, que les éléments remis sont identifiés et que les lacunes restantes sont acceptées pour la phase de cadrage.</w:t>
      </w:r>
    </w:p>
    <w:tbl>
      <w:tblPr>
        <w:tblStyle w:val="TableGrid"/>
        <w:tblW w:type="dxa" w:w="9500"/>
        <w:jc w:val="left"/>
        <w:tblLayout w:type="fixed"/>
        <w:tblLook w:firstColumn="1" w:firstRow="1" w:lastColumn="0" w:lastRow="0" w:noHBand="0" w:noVBand="1" w:val="04A0"/>
        <w:tblInd w:w="120" w:type="dxa"/>
      </w:tblPr>
      <w:tblGrid>
        <w:gridCol w:w="2600"/>
        <w:gridCol w:w="2500"/>
        <w:gridCol w:w="1900"/>
        <w:gridCol w:w="25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VISA / DÉCISION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Responsable technique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Responsable sécurité</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Direction Pacturion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Responsable du dossier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RENSEIGNER</w:t>
            </w:r>
          </w:p>
        </w:tc>
      </w:tr>
    </w:tbl>
    <w:p>
      <w:pPr>
        <w:spacing w:after="40"/>
      </w:pPr>
    </w:p>
    <w:p>
      <w:pPr>
        <w:pStyle w:val="Heading2"/>
      </w:pPr>
      <w:r>
        <w:t>Checklist finale de transmission</w:t>
      </w:r>
    </w:p>
    <w:p>
      <w:pPr>
        <w:numPr>
          <w:ilvl w:val="0"/>
          <w:numId w:val="16"/>
        </w:numPr>
        <w:spacing w:after="80" w:line="283" w:lineRule="auto"/>
      </w:pPr>
      <w:r>
        <w:rPr>
          <w:rFonts w:ascii="Arial" w:hAnsi="Arial" w:eastAsia="Arial"/>
          <w:color w:val="162019"/>
          <w:sz w:val="20"/>
        </w:rPr>
        <w:t>Le commit et le tag sont gelés et accessibles.</w:t>
      </w:r>
    </w:p>
    <w:p>
      <w:pPr>
        <w:numPr>
          <w:ilvl w:val="0"/>
          <w:numId w:val="16"/>
        </w:numPr>
        <w:spacing w:after="80" w:line="283" w:lineRule="auto"/>
      </w:pPr>
      <w:r>
        <w:rPr>
          <w:rFonts w:ascii="Arial" w:hAnsi="Arial" w:eastAsia="Arial"/>
          <w:color w:val="162019"/>
          <w:sz w:val="20"/>
        </w:rPr>
        <w:t>Les adresses, bytecodes, paramètres et rôles sont rapprochés.</w:t>
      </w:r>
    </w:p>
    <w:p>
      <w:pPr>
        <w:numPr>
          <w:ilvl w:val="0"/>
          <w:numId w:val="16"/>
        </w:numPr>
        <w:spacing w:after="80" w:line="283" w:lineRule="auto"/>
      </w:pPr>
      <w:r>
        <w:rPr>
          <w:rFonts w:ascii="Arial" w:hAnsi="Arial" w:eastAsia="Arial"/>
          <w:color w:val="162019"/>
          <w:sz w:val="20"/>
        </w:rPr>
        <w:t>Les instructions de build et de test fonctionnent depuis un environnement vierge.</w:t>
      </w:r>
    </w:p>
    <w:p>
      <w:pPr>
        <w:numPr>
          <w:ilvl w:val="0"/>
          <w:numId w:val="16"/>
        </w:numPr>
        <w:spacing w:after="80" w:line="283" w:lineRule="auto"/>
      </w:pPr>
      <w:r>
        <w:rPr>
          <w:rFonts w:ascii="Arial" w:hAnsi="Arial" w:eastAsia="Arial"/>
          <w:color w:val="162019"/>
          <w:sz w:val="20"/>
        </w:rPr>
        <w:t>Les pièces E-01 à E-14 sont présentes ou explicitement déclarées absentes.</w:t>
      </w:r>
    </w:p>
    <w:p>
      <w:pPr>
        <w:numPr>
          <w:ilvl w:val="0"/>
          <w:numId w:val="16"/>
        </w:numPr>
        <w:spacing w:after="80" w:line="283" w:lineRule="auto"/>
      </w:pPr>
      <w:r>
        <w:rPr>
          <w:rFonts w:ascii="Arial" w:hAnsi="Arial" w:eastAsia="Arial"/>
          <w:color w:val="162019"/>
          <w:sz w:val="20"/>
        </w:rPr>
        <w:t>Les accès temporaires sont nominatifs, limités et révocables.</w:t>
      </w:r>
    </w:p>
    <w:p>
      <w:pPr>
        <w:numPr>
          <w:ilvl w:val="0"/>
          <w:numId w:val="16"/>
        </w:numPr>
        <w:spacing w:after="80" w:line="283" w:lineRule="auto"/>
      </w:pPr>
      <w:r>
        <w:rPr>
          <w:rFonts w:ascii="Arial" w:hAnsi="Arial" w:eastAsia="Arial"/>
          <w:color w:val="162019"/>
          <w:sz w:val="20"/>
        </w:rPr>
        <w:t>Le canal de questions, les délais de réponse et la gestion des changements sont convenus.</w:t>
      </w:r>
    </w:p>
    <w:p>
      <w:pPr>
        <w:numPr>
          <w:ilvl w:val="0"/>
          <w:numId w:val="16"/>
        </w:numPr>
        <w:spacing w:after="80" w:line="283" w:lineRule="auto"/>
      </w:pPr>
      <w:r>
        <w:rPr>
          <w:rFonts w:ascii="Arial" w:hAnsi="Arial" w:eastAsia="Arial"/>
          <w:color w:val="162019"/>
          <w:sz w:val="20"/>
        </w:rPr>
        <w:t>La communication externe reste interdite avant validation du rapport final.</w:t>
      </w:r>
    </w:p>
    <w:p>
      <w:pPr>
        <w:spacing w:before="100" w:after="180" w:line="283" w:lineRule="auto"/>
        <w:ind w:left="227" w:right="170"/>
        <w:shd w:fill="EDF3EF"/>
        <w:pBdr>
          <w:left w:val="single" w:sz="18" w:space="8" w:color="155A3E"/>
        </w:pBdr>
      </w:pPr>
      <w:r>
        <w:rPr>
          <w:rFonts w:ascii="Arial" w:hAnsi="Arial" w:eastAsia="Arial"/>
          <w:b/>
          <w:color w:val="155A3E"/>
          <w:sz w:val="16"/>
        </w:rPr>
        <w:t>PROCHAINE ACTION</w:t>
        <w:br/>
      </w:r>
      <w:r>
        <w:rPr>
          <w:rFonts w:ascii="Arial" w:hAnsi="Arial" w:eastAsia="Arial"/>
          <w:b w:val="0"/>
          <w:color w:val="162019"/>
          <w:sz w:val="20"/>
        </w:rPr>
        <w:t>Nommer le responsable du dossier, renseigner la fiche de gel, compléter le registre Base Sepolia et rassembler les preuves de test avant la réunion de cadrage avec l’auditeur.</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PRÉPARATION AUDIT V1.0</w:t>
    </w:r>
    <w:r>
      <w:rPr>
        <w:rFonts w:ascii="Arial" w:hAnsi="Arial" w:eastAsia="Arial"/>
        <w:b/>
        <w:color w:val="C6A15B"/>
        <w:sz w:val="14"/>
      </w:rPr>
      <w:tab/>
      <w:t xml:space="preserve">DOCUMENT DE TRAVAIL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PRÉPARATION À L’AUDIT EXTERNE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Préparation à l’audit externe</dc:title>
  <dc:subject>Périmètre, preuves, contrôles et pièces manquantes pour VERIDIA Protocol</dc:subject>
  <dc:creator>Pacturion</dc:creator>
  <cp:keywords>Pacturion, VERIDIA Protocol, audit externe, sécurité, Base Sepolia</cp:keywords>
  <dc:description>Document de travail — ne constitue pas un rapport d’audit.</dc:description>
  <cp:lastModifiedBy/>
  <cp:revision>1</cp:revision>
  <dcterms:created xsi:type="dcterms:W3CDTF">2013-12-23T23:15:00Z</dcterms:created>
  <dcterms:modified xsi:type="dcterms:W3CDTF">2013-12-23T23:15:00Z</dcterms:modified>
  <cp:category/>
</cp:coreProperties>
</file>