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4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50"/>
        </w:rPr>
        <w:t>PROTOCOLE DE PILOTE EXTERNE</w:t>
      </w:r>
    </w:p>
    <w:p>
      <w:pPr>
        <w:spacing w:after="160"/>
      </w:pPr>
      <w:r>
        <w:rPr>
          <w:rFonts w:ascii="Arial" w:hAnsi="Arial" w:eastAsia="Arial"/>
          <w:color w:val="155A3E"/>
          <w:sz w:val="33"/>
        </w:rPr>
        <w:t>Validation d’ALPHA sur un workflow réel — V1.0</w:t>
      </w:r>
    </w:p>
    <w:p>
      <w:pPr>
        <w:spacing w:after="400"/>
      </w:pPr>
      <w:r>
        <w:rPr>
          <w:rFonts w:ascii="Arial" w:hAnsi="Arial" w:eastAsia="Arial"/>
          <w:color w:val="162019"/>
          <w:sz w:val="22"/>
        </w:rPr>
        <w:t>Transformer un essai technique interne en preuve client contrôlée, traçable et exploitable — sans mainnet, fonds réels ni fonction économique.</w:t>
      </w:r>
    </w:p>
    <w:tbl>
      <w:tblPr>
        <w:tblStyle w:val="TableGrid"/>
        <w:tblW w:type="dxa" w:w="9500"/>
        <w:jc w:val="left"/>
        <w:tblLayout w:type="fixed"/>
        <w:tblLook w:firstColumn="1" w:firstRow="1" w:lastColumn="0" w:lastRow="0" w:noHBand="0" w:noVBand="1" w:val="04A0"/>
        <w:tblInd w:w="120" w:type="dxa"/>
      </w:tblPr>
      <w:tblGrid>
        <w:gridCol w:w="1300"/>
        <w:gridCol w:w="2100"/>
        <w:gridCol w:w="3900"/>
        <w:gridCol w:w="22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8 septembre 2026</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À APPROUVER AVANT INVITATION</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7"/>
              </w:rPr>
              <w:t>Pacturion</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DÉCISION RECHERCHÉE</w:t>
        <w:br/>
      </w:r>
      <w:r>
        <w:rPr>
          <w:rFonts w:ascii="Arial" w:hAnsi="Arial" w:eastAsia="Arial"/>
          <w:b w:val="0"/>
          <w:color w:val="162019"/>
          <w:sz w:val="20"/>
        </w:rPr>
        <w:t>Déterminer, à partir d’un usage externe borné, si ALPHA résout un problème réel avec un niveau de preuve, de contrôle et d’exploitabilité suffisant pour poursuivre vers une bêta tokenless.</w:t>
      </w:r>
    </w:p>
    <w:p>
      <w:pPr>
        <w:spacing w:before="100" w:after="180" w:line="283" w:lineRule="auto"/>
        <w:ind w:left="227" w:right="170"/>
        <w:shd w:fill="F6F0E3"/>
        <w:pBdr>
          <w:left w:val="single" w:sz="18" w:space="8" w:color="C6A15B"/>
        </w:pBdr>
      </w:pPr>
      <w:r>
        <w:rPr>
          <w:rFonts w:ascii="Arial" w:hAnsi="Arial" w:eastAsia="Arial"/>
          <w:b/>
          <w:color w:val="C6A15B"/>
          <w:sz w:val="16"/>
        </w:rPr>
        <w:t>INTERDICTION</w:t>
        <w:br/>
      </w:r>
      <w:r>
        <w:rPr>
          <w:rFonts w:ascii="Arial" w:hAnsi="Arial" w:eastAsia="Arial"/>
          <w:b w:val="0"/>
          <w:color w:val="162019"/>
          <w:sz w:val="20"/>
        </w:rPr>
        <w:t>Ce pilote ne doit pas être présenté comme une mise en production, un audit indépendant, une validation MiCA, une offre de crypto-actif ou une preuve de performance commerciale.</w:t>
      </w:r>
    </w:p>
    <w:p>
      <w:r>
        <w:br w:type="page"/>
      </w:r>
    </w:p>
    <w:p>
      <w:pPr>
        <w:keepNext/>
        <w:spacing w:before="440" w:after="100"/>
      </w:pPr>
      <w:r>
        <w:rPr>
          <w:rFonts w:ascii="Arial" w:hAnsi="Arial" w:eastAsia="Arial"/>
          <w:b/>
          <w:color w:val="C6A15B"/>
          <w:sz w:val="16"/>
        </w:rPr>
        <w:t>CHAPITRE 00</w:t>
      </w:r>
    </w:p>
    <w:p>
      <w:pPr>
        <w:pStyle w:val="Heading1"/>
        <w:pageBreakBefore w:val="0"/>
      </w:pPr>
      <w:r>
        <w:t>Mode d’emploi et statut du protocole</w:t>
      </w:r>
    </w:p>
    <w:p>
      <w:pPr>
        <w:pStyle w:val="Heading2"/>
      </w:pPr>
      <w:r>
        <w:t>Pourquoi ce document existe</w:t>
      </w:r>
    </w:p>
    <w:p>
      <w:pPr>
        <w:spacing w:after="140" w:line="307" w:lineRule="auto"/>
      </w:pPr>
      <w:r>
        <w:rPr>
          <w:rFonts w:ascii="Arial" w:hAnsi="Arial" w:eastAsia="Arial"/>
          <w:i w:val="0"/>
          <w:color w:val="162019"/>
          <w:sz w:val="20"/>
        </w:rPr>
        <w:t>La Phase 3.E Human Pilot et le Release Candidate ont été déclarés PASS par le porteur dans un environnement interne. Ils démontrent une capacité de fonctionnement contrôlée, mais ne valent ni pilote client externe, ni audit indépendant, ni validation du marché. Le présent protocole organise l’étape qui manque : confronter ALPHA à un workflow réel porté par une organisation extérieure.</w:t>
      </w:r>
    </w:p>
    <w:p>
      <w:pPr>
        <w:pStyle w:val="Heading2"/>
      </w:pPr>
      <w:r>
        <w:t>Règle d’utilisation</w:t>
      </w:r>
    </w:p>
    <w:p>
      <w:pPr>
        <w:numPr>
          <w:ilvl w:val="0"/>
          <w:numId w:val="16"/>
        </w:numPr>
        <w:spacing w:after="80" w:line="283" w:lineRule="auto"/>
      </w:pPr>
      <w:r>
        <w:rPr>
          <w:rFonts w:ascii="Arial" w:hAnsi="Arial" w:eastAsia="Arial"/>
          <w:color w:val="162019"/>
          <w:sz w:val="20"/>
        </w:rPr>
        <w:t>compléter tous les champs [À RENSEIGNER] avant de contacter un participant ;</w:t>
      </w:r>
    </w:p>
    <w:p>
      <w:pPr>
        <w:numPr>
          <w:ilvl w:val="0"/>
          <w:numId w:val="16"/>
        </w:numPr>
        <w:spacing w:after="80" w:line="283" w:lineRule="auto"/>
      </w:pPr>
      <w:r>
        <w:rPr>
          <w:rFonts w:ascii="Arial" w:hAnsi="Arial" w:eastAsia="Arial"/>
          <w:color w:val="162019"/>
          <w:sz w:val="20"/>
        </w:rPr>
        <w:t>faire approuver le périmètre, le calendrier, les responsables et les critères de sortie ;</w:t>
      </w:r>
    </w:p>
    <w:p>
      <w:pPr>
        <w:numPr>
          <w:ilvl w:val="0"/>
          <w:numId w:val="16"/>
        </w:numPr>
        <w:spacing w:after="80" w:line="283" w:lineRule="auto"/>
      </w:pPr>
      <w:r>
        <w:rPr>
          <w:rFonts w:ascii="Arial" w:hAnsi="Arial" w:eastAsia="Arial"/>
          <w:color w:val="162019"/>
          <w:sz w:val="20"/>
        </w:rPr>
        <w:t>exécuter exclusivement sur local et Base Sepolia, chain ID 84532 ;</w:t>
      </w:r>
    </w:p>
    <w:p>
      <w:pPr>
        <w:numPr>
          <w:ilvl w:val="0"/>
          <w:numId w:val="16"/>
        </w:numPr>
        <w:spacing w:after="80" w:line="283" w:lineRule="auto"/>
      </w:pPr>
      <w:r>
        <w:rPr>
          <w:rFonts w:ascii="Arial" w:hAnsi="Arial" w:eastAsia="Arial"/>
          <w:color w:val="162019"/>
          <w:sz w:val="20"/>
        </w:rPr>
        <w:t>conserver les preuves brutes, journaux, décisions, écarts et visas ;</w:t>
      </w:r>
    </w:p>
    <w:p>
      <w:pPr>
        <w:numPr>
          <w:ilvl w:val="0"/>
          <w:numId w:val="16"/>
        </w:numPr>
        <w:spacing w:after="80" w:line="283" w:lineRule="auto"/>
      </w:pPr>
      <w:r>
        <w:rPr>
          <w:rFonts w:ascii="Arial" w:hAnsi="Arial" w:eastAsia="Arial"/>
          <w:color w:val="162019"/>
          <w:sz w:val="20"/>
        </w:rPr>
        <w:t>arrêter immédiatement si une condition de sécurité, de droit ou de périmètre n’est plus tenue.</w:t>
      </w:r>
    </w:p>
    <w:p>
      <w:pPr>
        <w:pStyle w:val="Heading2"/>
      </w:pPr>
      <w:r>
        <w:t>Documents liés</w:t>
      </w:r>
    </w:p>
    <w:tbl>
      <w:tblPr>
        <w:tblStyle w:val="TableGrid"/>
        <w:tblW w:type="dxa" w:w="9500"/>
        <w:jc w:val="left"/>
        <w:tblLayout w:type="fixed"/>
        <w:tblLook w:firstColumn="1" w:firstRow="1" w:lastColumn="0" w:lastRow="0" w:noHBand="0" w:noVBand="1" w:val="04A0"/>
        <w:tblInd w:w="120" w:type="dxa"/>
      </w:tblPr>
      <w:tblGrid>
        <w:gridCol w:w="3700"/>
        <w:gridCol w:w="5800"/>
      </w:tblGrid>
      <w:tr>
        <w:trPr>
          <w:tblHeader w:val="true"/>
          <w:cantSplit/>
        </w:trPr>
        <w:tc>
          <w:tcPr>
            <w:tcW w:type="dxa" w:w="3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Document Pacturion</w:t>
            </w:r>
          </w:p>
        </w:tc>
        <w:tc>
          <w:tcPr>
            <w:tcW w:type="dxa" w:w="58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Usage dans le pilote</w:t>
            </w:r>
          </w:p>
        </w:tc>
      </w:tr>
      <w:tr>
        <w:trPr>
          <w:cantSplit/>
        </w:trPr>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Spécification ALPHA V1.0</w:t>
            </w:r>
          </w:p>
        </w:tc>
        <w:tc>
          <w:tcPr>
            <w:tcW w:type="dxa" w:w="5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Hypothèse produit, périmètre fonctionnel et workflow cible</w:t>
            </w:r>
          </w:p>
        </w:tc>
      </w:tr>
      <w:tr>
        <w:trPr>
          <w:cantSplit/>
        </w:trPr>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Phase 3.E Human Pilot V1.0</w:t>
            </w:r>
          </w:p>
        </w:tc>
        <w:tc>
          <w:tcPr>
            <w:tcW w:type="dxa" w:w="5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Base interne à distinguer de la validation externe</w:t>
            </w:r>
          </w:p>
        </w:tc>
      </w:tr>
      <w:tr>
        <w:trPr>
          <w:cantSplit/>
        </w:trPr>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Release Candidate V1.0</w:t>
            </w:r>
          </w:p>
        </w:tc>
        <w:tc>
          <w:tcPr>
            <w:tcW w:type="dxa" w:w="5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Configuration candidate et limites déclarées</w:t>
            </w:r>
          </w:p>
        </w:tc>
      </w:tr>
      <w:tr>
        <w:trPr>
          <w:cantSplit/>
        </w:trPr>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de preuves techniques V1.0</w:t>
            </w:r>
          </w:p>
        </w:tc>
        <w:tc>
          <w:tcPr>
            <w:tcW w:type="dxa" w:w="5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Index des traces et artefacts du pilote</w:t>
            </w:r>
          </w:p>
        </w:tc>
      </w:tr>
      <w:tr>
        <w:trPr>
          <w:cantSplit/>
        </w:trPr>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Manuel d’exploitation &amp; runbooks V1.0</w:t>
            </w:r>
          </w:p>
        </w:tc>
        <w:tc>
          <w:tcPr>
            <w:tcW w:type="dxa" w:w="5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Procédures d’exécution, reprise et escalade</w:t>
            </w:r>
          </w:p>
        </w:tc>
      </w:tr>
      <w:tr>
        <w:trPr>
          <w:cantSplit/>
        </w:trPr>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Dossier sécurité &amp; gestion des incidents V1.0</w:t>
            </w:r>
          </w:p>
        </w:tc>
        <w:tc>
          <w:tcPr>
            <w:tcW w:type="dxa" w:w="5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Classification et traitement des événements</w:t>
            </w:r>
          </w:p>
        </w:tc>
      </w:tr>
      <w:tr>
        <w:trPr>
          <w:cantSplit/>
        </w:trPr>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Gouvernance, conformité &amp; décision MiCA V1.0</w:t>
            </w:r>
          </w:p>
        </w:tc>
        <w:tc>
          <w:tcPr>
            <w:tcW w:type="dxa" w:w="5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Garde-fous tokenless et langage autorisé</w:t>
            </w:r>
          </w:p>
        </w:tc>
      </w:tr>
    </w:tbl>
    <w:p>
      <w:pPr>
        <w:spacing w:after="40"/>
      </w:pPr>
    </w:p>
    <w:p>
      <w:r>
        <w:br w:type="page"/>
      </w:r>
    </w:p>
    <w:p>
      <w:pPr>
        <w:pStyle w:val="Heading2"/>
      </w:pPr>
      <w:r>
        <w:t>Sommaire</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Mandat, hypothèse et décision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Périmètre et exclusions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Portes d’entrée G0 à G5</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Participants, rôles et gouvernance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Workflow pilote de bout en bout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Plan de scénarios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 preuves et traçabilité</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Sécurité, incidents et arrêt</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Mesures et critères d’acceptation</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10</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Calendrier proposé</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Communication, MiCA et propriété</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12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Clôture et décision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Fiche de cadrage du participant</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Journal de session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Visa de lancement et décision finale</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Mandat, hypothèse et décision</w:t>
      </w:r>
    </w:p>
    <w:p>
      <w:pPr>
        <w:pStyle w:val="Heading2"/>
      </w:pPr>
      <w:r>
        <w:t>Mandat</w:t>
      </w:r>
    </w:p>
    <w:p>
      <w:pPr>
        <w:spacing w:after="140" w:line="307" w:lineRule="auto"/>
      </w:pPr>
      <w:r>
        <w:rPr>
          <w:rFonts w:ascii="Arial" w:hAnsi="Arial" w:eastAsia="Arial"/>
          <w:i w:val="0"/>
          <w:color w:val="162019"/>
          <w:sz w:val="20"/>
        </w:rPr>
        <w:t>Le pilote vise à observer si une organisation extérieure peut définir un engagement vérifiable, identifier les acteurs et sources autorisés, déposer ou référencer les preuves attendues, puis obtenir une décision traçable selon des règles préalablement gelées. Pacturion fournit le cadre ; VERIDIA Protocol constitue l’infrastructure technique ; ALPHA est l’hypothèse produit évaluée.</w:t>
      </w:r>
    </w:p>
    <w:p>
      <w:pPr>
        <w:pStyle w:val="Heading2"/>
      </w:pPr>
      <w:r>
        <w:t>Hypothèse à tester</w:t>
      </w:r>
    </w:p>
    <w:p>
      <w:pPr>
        <w:spacing w:before="100" w:after="180" w:line="283" w:lineRule="auto"/>
        <w:ind w:left="227" w:right="170"/>
        <w:shd w:fill="EDF3EF"/>
        <w:pBdr>
          <w:left w:val="single" w:sz="18" w:space="8" w:color="155A3E"/>
        </w:pBdr>
      </w:pPr>
      <w:r>
        <w:rPr>
          <w:rFonts w:ascii="Arial" w:hAnsi="Arial" w:eastAsia="Arial"/>
          <w:b/>
          <w:color w:val="155A3E"/>
          <w:sz w:val="16"/>
        </w:rPr>
        <w:t>HYPOTHÈSE H1</w:t>
        <w:br/>
      </w:r>
      <w:r>
        <w:rPr>
          <w:rFonts w:ascii="Arial" w:hAnsi="Arial" w:eastAsia="Arial"/>
          <w:b w:val="0"/>
          <w:color w:val="162019"/>
          <w:sz w:val="20"/>
        </w:rPr>
        <w:t>Pour un workflow réel comportant des obligations, des preuves et une décision, ALPHA réduit l’ambiguïté et rend le résultat plus vérifiable sans retirer au décideur sa responsabilité métier.</w:t>
      </w:r>
    </w:p>
    <w:p>
      <w:pPr>
        <w:pStyle w:val="Heading2"/>
      </w:pPr>
      <w:r>
        <w:t>Questions de validation</w:t>
      </w:r>
    </w:p>
    <w:tbl>
      <w:tblPr>
        <w:tblStyle w:val="TableGrid"/>
        <w:tblW w:type="dxa" w:w="9500"/>
        <w:jc w:val="left"/>
        <w:tblLayout w:type="fixed"/>
        <w:tblLook w:firstColumn="1" w:firstRow="1" w:lastColumn="0" w:lastRow="0" w:noHBand="0" w:noVBand="1" w:val="04A0"/>
        <w:tblInd w:w="120" w:type="dxa"/>
      </w:tblPr>
      <w:tblGrid>
        <w:gridCol w:w="1800"/>
        <w:gridCol w:w="4400"/>
        <w:gridCol w:w="33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Axe</w:t>
            </w:r>
          </w:p>
        </w:tc>
        <w:tc>
          <w:tcPr>
            <w:tcW w:type="dxa" w:w="4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Question à trancher</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attendue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Problème</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La douleur existe-t-elle réellement et à quelle fréquence ?</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Entretiens, exemples et cas réels anonymisés</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Adéquation</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workflow ALPHA correspond-il au travail réel ?</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Exécution complète et écarts documentés</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Les sources et critères sont-ils assez précis ?</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Décisions reproductibles et justificatifs retrouvables</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Les rôles et autorisations empêchent-ils les actions indues ?</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Tests négatifs et journaux d’accès</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Valeur</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gain justifie-t-il un second pilote ou une bêta ?</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Mesures, retour utilisateur et engagement suivant</w:t>
            </w:r>
          </w:p>
        </w:tc>
      </w:tr>
    </w:tbl>
    <w:p>
      <w:pPr>
        <w:spacing w:after="40"/>
      </w:pPr>
    </w:p>
    <w:p>
      <w:pPr>
        <w:pStyle w:val="Heading2"/>
      </w:pPr>
      <w:r>
        <w:t>Décisions possibles</w:t>
      </w:r>
    </w:p>
    <w:tbl>
      <w:tblPr>
        <w:tblStyle w:val="TableGrid"/>
        <w:tblW w:type="dxa" w:w="9500"/>
        <w:jc w:val="left"/>
        <w:tblLayout w:type="fixed"/>
        <w:tblLook w:firstColumn="1" w:firstRow="1" w:lastColumn="0" w:lastRow="0" w:noHBand="0" w:noVBand="1" w:val="04A0"/>
        <w:tblInd w:w="120" w:type="dxa"/>
      </w:tblPr>
      <w:tblGrid>
        <w:gridCol w:w="2200"/>
        <w:gridCol w:w="4300"/>
        <w:gridCol w:w="30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c>
          <w:tcPr>
            <w:tcW w:type="dxa" w:w="4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Sens</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Suite autorisée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Critères critiques atteints et valeur externe démontrée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Préparer une bêta tokenless et l’audit indépendant</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 CONDITIONNEL</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Valeur plausible mais écarts maîtrisables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Corriger puis rejouer les scénarios concernés</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PIVOT</w:t>
            </w:r>
          </w:p>
        </w:tc>
        <w:tc>
          <w:tcPr>
            <w:tcW w:type="dxa" w:w="4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Problème réel mais workflow ou proposition inadapté</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Reformuler ALPHA avant nouveau pilote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w:t>
            </w:r>
          </w:p>
        </w:tc>
        <w:tc>
          <w:tcPr>
            <w:tcW w:type="dxa" w:w="4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Risque, absence de valeur ou échec critique</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Clôturer et archiver sans extension</w:t>
            </w:r>
          </w:p>
        </w:tc>
      </w:tr>
    </w:tbl>
    <w:p>
      <w:pPr>
        <w:spacing w:after="40"/>
      </w:pPr>
    </w:p>
    <w:p>
      <w:r>
        <w:br w:type="page"/>
      </w:r>
    </w:p>
    <w:p>
      <w:pPr>
        <w:keepNext/>
        <w:spacing w:before="440" w:after="100"/>
      </w:pPr>
      <w:r>
        <w:rPr>
          <w:rFonts w:ascii="Arial" w:hAnsi="Arial" w:eastAsia="Arial"/>
          <w:b/>
          <w:color w:val="C6A15B"/>
          <w:sz w:val="16"/>
        </w:rPr>
        <w:t>CHAPITRE 02</w:t>
      </w:r>
    </w:p>
    <w:p>
      <w:pPr>
        <w:pStyle w:val="Heading1"/>
        <w:pageBreakBefore w:val="0"/>
      </w:pPr>
      <w:r>
        <w:t>Périmètre et exclusions</w:t>
      </w:r>
    </w:p>
    <w:p>
      <w:pPr>
        <w:pStyle w:val="Heading2"/>
      </w:pPr>
      <w:r>
        <w:t>Dans le périmètre</w:t>
      </w:r>
    </w:p>
    <w:p>
      <w:pPr>
        <w:numPr>
          <w:ilvl w:val="0"/>
          <w:numId w:val="17"/>
        </w:numPr>
        <w:spacing w:after="80" w:line="283" w:lineRule="auto"/>
      </w:pPr>
      <w:r>
        <w:rPr>
          <w:rFonts w:ascii="Arial" w:hAnsi="Arial" w:eastAsia="Arial"/>
          <w:color w:val="162019"/>
          <w:sz w:val="20"/>
        </w:rPr>
        <w:t>un workflow métier réel, limité et décrit avant le lancement ;</w:t>
      </w:r>
    </w:p>
    <w:p>
      <w:pPr>
        <w:numPr>
          <w:ilvl w:val="0"/>
          <w:numId w:val="17"/>
        </w:numPr>
        <w:spacing w:after="80" w:line="283" w:lineRule="auto"/>
      </w:pPr>
      <w:r>
        <w:rPr>
          <w:rFonts w:ascii="Arial" w:hAnsi="Arial" w:eastAsia="Arial"/>
          <w:color w:val="162019"/>
          <w:sz w:val="20"/>
        </w:rPr>
        <w:t>des parties identifiées, des rôles nommés et un décideur métier responsable ;</w:t>
      </w:r>
    </w:p>
    <w:p>
      <w:pPr>
        <w:numPr>
          <w:ilvl w:val="0"/>
          <w:numId w:val="17"/>
        </w:numPr>
        <w:spacing w:after="80" w:line="283" w:lineRule="auto"/>
      </w:pPr>
      <w:r>
        <w:rPr>
          <w:rFonts w:ascii="Arial" w:hAnsi="Arial" w:eastAsia="Arial"/>
          <w:color w:val="162019"/>
          <w:sz w:val="20"/>
        </w:rPr>
        <w:t>des engagements et critères figés avant l’exécution ;</w:t>
      </w:r>
    </w:p>
    <w:p>
      <w:pPr>
        <w:numPr>
          <w:ilvl w:val="0"/>
          <w:numId w:val="17"/>
        </w:numPr>
        <w:spacing w:after="80" w:line="283" w:lineRule="auto"/>
      </w:pPr>
      <w:r>
        <w:rPr>
          <w:rFonts w:ascii="Arial" w:hAnsi="Arial" w:eastAsia="Arial"/>
          <w:color w:val="162019"/>
          <w:sz w:val="20"/>
        </w:rPr>
        <w:t>des sources autorisées et un protocole de preuve défini ;</w:t>
      </w:r>
    </w:p>
    <w:p>
      <w:pPr>
        <w:numPr>
          <w:ilvl w:val="0"/>
          <w:numId w:val="17"/>
        </w:numPr>
        <w:spacing w:after="80" w:line="283" w:lineRule="auto"/>
      </w:pPr>
      <w:r>
        <w:rPr>
          <w:rFonts w:ascii="Arial" w:hAnsi="Arial" w:eastAsia="Arial"/>
          <w:color w:val="162019"/>
          <w:sz w:val="20"/>
        </w:rPr>
        <w:t>des conséquences simulées, prédéfinies, autorisées et sans valeur réelle ;</w:t>
      </w:r>
    </w:p>
    <w:p>
      <w:pPr>
        <w:numPr>
          <w:ilvl w:val="0"/>
          <w:numId w:val="17"/>
        </w:numPr>
        <w:spacing w:after="80" w:line="283" w:lineRule="auto"/>
      </w:pPr>
      <w:r>
        <w:rPr>
          <w:rFonts w:ascii="Arial" w:hAnsi="Arial" w:eastAsia="Arial"/>
          <w:color w:val="162019"/>
          <w:sz w:val="20"/>
        </w:rPr>
        <w:t>l’exécution locale et/ou Base Sepolia avec données minimisées ;</w:t>
      </w:r>
    </w:p>
    <w:p>
      <w:pPr>
        <w:numPr>
          <w:ilvl w:val="0"/>
          <w:numId w:val="17"/>
        </w:numPr>
        <w:spacing w:after="80" w:line="283" w:lineRule="auto"/>
      </w:pPr>
      <w:r>
        <w:rPr>
          <w:rFonts w:ascii="Arial" w:hAnsi="Arial" w:eastAsia="Arial"/>
          <w:color w:val="162019"/>
          <w:sz w:val="20"/>
        </w:rPr>
        <w:t>l’observation utilisateur, les mesures opérationnelles et un rapport final.</w:t>
      </w:r>
    </w:p>
    <w:p>
      <w:pPr>
        <w:pStyle w:val="Heading2"/>
      </w:pPr>
      <w:r>
        <w:t>Hors périmètre — interdictions absolues</w:t>
      </w:r>
    </w:p>
    <w:tbl>
      <w:tblPr>
        <w:tblStyle w:val="TableGrid"/>
        <w:tblW w:type="dxa" w:w="9500"/>
        <w:jc w:val="left"/>
        <w:tblLayout w:type="fixed"/>
        <w:tblLook w:firstColumn="1" w:firstRow="1" w:lastColumn="0" w:lastRow="0" w:noHBand="0" w:noVBand="1" w:val="04A0"/>
        <w:tblInd w:w="120" w:type="dxa"/>
      </w:tblPr>
      <w:tblGrid>
        <w:gridCol w:w="3900"/>
        <w:gridCol w:w="5600"/>
      </w:tblGrid>
      <w:tr>
        <w:trPr>
          <w:tblHeader w:val="true"/>
          <w:cantSplit/>
        </w:trPr>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 interdit</w:t>
            </w:r>
          </w:p>
        </w:tc>
        <w:tc>
          <w:tcPr>
            <w:tcW w:type="dxa" w:w="5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Raison</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Mainnet ou autre réseau de production</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pilote n’autorise aucune irréversibilité économique</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Fonds, actifs ou paiements réels</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risque financier ne doit être transféré au participant</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Émission, distribution ou vente de VERIDIA</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L’hypothèse de token reste dormante</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Rendement, APY, staking, taxe ou partage de revenus</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modèle actuel les exclut</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Conseil financier, conservation ou échange</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service sur crypto-actifs n’est testé</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sensibles non nécessaires</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Le pilote applique la minimisation</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automatique à effet réel sur une personne</w:t>
            </w:r>
          </w:p>
        </w:tc>
        <w:tc>
          <w:tcPr>
            <w:tcW w:type="dxa" w:w="5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 responsable humain conserve la décision finale</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Affirmation « audité », « conforme MiCA » ou « approuvé »</w:t>
            </w:r>
          </w:p>
        </w:tc>
        <w:tc>
          <w:tcPr>
            <w:tcW w:type="dxa" w:w="5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Ces statuts ne sont pas établis</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RÈGLE DE CHANGEMENT</w:t>
        <w:br/>
      </w:r>
      <w:r>
        <w:rPr>
          <w:rFonts w:ascii="Arial" w:hAnsi="Arial" w:eastAsia="Arial"/>
          <w:b w:val="0"/>
          <w:color w:val="162019"/>
          <w:sz w:val="20"/>
        </w:rPr>
        <w:t>Toute demande qui étend les données, les acteurs, les effets, le réseau ou le langage public suspend le pilote jusqu’à une nouvelle décision écrite.</w:t>
      </w:r>
    </w:p>
    <w:p>
      <w:r>
        <w:br w:type="page"/>
      </w:r>
    </w:p>
    <w:p>
      <w:pPr>
        <w:keepNext/>
        <w:spacing w:before="440" w:after="100"/>
      </w:pPr>
      <w:r>
        <w:rPr>
          <w:rFonts w:ascii="Arial" w:hAnsi="Arial" w:eastAsia="Arial"/>
          <w:b/>
          <w:color w:val="C6A15B"/>
          <w:sz w:val="16"/>
        </w:rPr>
        <w:t>CHAPITRE 03</w:t>
      </w:r>
    </w:p>
    <w:p>
      <w:pPr>
        <w:pStyle w:val="Heading1"/>
        <w:pageBreakBefore w:val="0"/>
      </w:pPr>
      <w:r>
        <w:t>Portes d’entrée G0 à G5</w:t>
      </w:r>
    </w:p>
    <w:p>
      <w:pPr>
        <w:spacing w:after="140" w:line="307" w:lineRule="auto"/>
      </w:pPr>
      <w:r>
        <w:rPr>
          <w:rFonts w:ascii="Arial" w:hAnsi="Arial" w:eastAsia="Arial"/>
          <w:i w:val="0"/>
          <w:color w:val="162019"/>
          <w:sz w:val="20"/>
        </w:rPr>
        <w:t>Le pilote ne démarre que lorsque chaque porte est PASS avec une preuve associée. Un état « en cours » ou une assurance verbale ne vaut pas PASS.</w:t>
      </w:r>
    </w:p>
    <w:tbl>
      <w:tblPr>
        <w:tblStyle w:val="TableGrid"/>
        <w:tblW w:type="dxa" w:w="9500"/>
        <w:jc w:val="left"/>
        <w:tblLayout w:type="fixed"/>
        <w:tblLook w:firstColumn="1" w:firstRow="1" w:lastColumn="0" w:lastRow="0" w:noHBand="0" w:noVBand="1" w:val="04A0"/>
        <w:tblInd w:w="120" w:type="dxa"/>
      </w:tblPr>
      <w:tblGrid>
        <w:gridCol w:w="1500"/>
        <w:gridCol w:w="3700"/>
        <w:gridCol w:w="2600"/>
        <w:gridCol w:w="1700"/>
      </w:tblGrid>
      <w:tr>
        <w:trPr>
          <w:tblHeader w:val="true"/>
          <w:cantSplit/>
        </w:trPr>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Gate</w:t>
            </w:r>
          </w:p>
        </w:tc>
        <w:tc>
          <w:tcPr>
            <w:tcW w:type="dxa" w:w="3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minimale</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 — Spécification</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Template ALPHA, règles, rôles et sorties gelés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signée et hashée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ÉTABLIR</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G1 — Preuves</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Sources, formats, règles d’acceptation et chaîne de garde définis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Plan de preuve + exemples</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ÉTABLIR</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G2 — Persistance</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Sauvegarde, reprise, idempotence et export testés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 de reprise PASS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ÉTABLIR</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G3 — Sécurité</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 secrets, journaux et scénario d’incident validés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Checklist sécurité</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ÉTABLIR</w:t>
            </w:r>
          </w:p>
        </w:tc>
      </w:tr>
      <w:tr>
        <w:trPr>
          <w:cantSplit/>
        </w:trPr>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G4 — Exploitation</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Runbooks, support, disponibilité et escalade prêts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Répétition opérationnelle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ÉTABLIR</w:t>
            </w:r>
          </w:p>
        </w:tc>
      </w:tr>
      <w:tr>
        <w:trPr>
          <w:cantSplit/>
        </w:trPr>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G5 — Réalité</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Workflow réel, décideur, budget et succès écrits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Fiche participant signée</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ÉTABLIR</w:t>
            </w:r>
          </w:p>
        </w:tc>
      </w:tr>
    </w:tbl>
    <w:p>
      <w:pPr>
        <w:spacing w:after="40"/>
      </w:pPr>
    </w:p>
    <w:p>
      <w:pPr>
        <w:pStyle w:val="Heading2"/>
      </w:pPr>
      <w:r>
        <w:t>Critères de refus avant lancement</w:t>
      </w:r>
    </w:p>
    <w:p>
      <w:pPr>
        <w:numPr>
          <w:ilvl w:val="0"/>
          <w:numId w:val="18"/>
        </w:numPr>
        <w:spacing w:after="80" w:line="283" w:lineRule="auto"/>
      </w:pPr>
      <w:r>
        <w:rPr>
          <w:rFonts w:ascii="Arial" w:hAnsi="Arial" w:eastAsia="Arial"/>
          <w:color w:val="162019"/>
          <w:sz w:val="20"/>
        </w:rPr>
        <w:t>aucun décideur métier n’accepte la responsabilité du résultat ;</w:t>
      </w:r>
    </w:p>
    <w:p>
      <w:pPr>
        <w:numPr>
          <w:ilvl w:val="0"/>
          <w:numId w:val="18"/>
        </w:numPr>
        <w:spacing w:after="80" w:line="283" w:lineRule="auto"/>
      </w:pPr>
      <w:r>
        <w:rPr>
          <w:rFonts w:ascii="Arial" w:hAnsi="Arial" w:eastAsia="Arial"/>
          <w:color w:val="162019"/>
          <w:sz w:val="20"/>
        </w:rPr>
        <w:t>le cas d’usage ne comporte pas d’engagement réellement vérifiable ;</w:t>
      </w:r>
    </w:p>
    <w:p>
      <w:pPr>
        <w:numPr>
          <w:ilvl w:val="0"/>
          <w:numId w:val="18"/>
        </w:numPr>
        <w:spacing w:after="80" w:line="283" w:lineRule="auto"/>
      </w:pPr>
      <w:r>
        <w:rPr>
          <w:rFonts w:ascii="Arial" w:hAnsi="Arial" w:eastAsia="Arial"/>
          <w:color w:val="162019"/>
          <w:sz w:val="20"/>
        </w:rPr>
        <w:t>les sources de preuve ne peuvent pas être autorisées ou stabilisées ;</w:t>
      </w:r>
    </w:p>
    <w:p>
      <w:pPr>
        <w:numPr>
          <w:ilvl w:val="0"/>
          <w:numId w:val="18"/>
        </w:numPr>
        <w:spacing w:after="80" w:line="283" w:lineRule="auto"/>
      </w:pPr>
      <w:r>
        <w:rPr>
          <w:rFonts w:ascii="Arial" w:hAnsi="Arial" w:eastAsia="Arial"/>
          <w:color w:val="162019"/>
          <w:sz w:val="20"/>
        </w:rPr>
        <w:t>le participant exige du mainnet, des fonds réels ou une promesse réglementaire ;</w:t>
      </w:r>
    </w:p>
    <w:p>
      <w:pPr>
        <w:numPr>
          <w:ilvl w:val="0"/>
          <w:numId w:val="18"/>
        </w:numPr>
        <w:spacing w:after="80" w:line="283" w:lineRule="auto"/>
      </w:pPr>
      <w:r>
        <w:rPr>
          <w:rFonts w:ascii="Arial" w:hAnsi="Arial" w:eastAsia="Arial"/>
          <w:color w:val="162019"/>
          <w:sz w:val="20"/>
        </w:rPr>
        <w:t>les données nécessaires ne peuvent pas être minimisées ou protégées ;</w:t>
      </w:r>
    </w:p>
    <w:p>
      <w:pPr>
        <w:numPr>
          <w:ilvl w:val="0"/>
          <w:numId w:val="18"/>
        </w:numPr>
        <w:spacing w:after="80" w:line="283" w:lineRule="auto"/>
      </w:pPr>
      <w:r>
        <w:rPr>
          <w:rFonts w:ascii="Arial" w:hAnsi="Arial" w:eastAsia="Arial"/>
          <w:color w:val="162019"/>
          <w:sz w:val="20"/>
        </w:rPr>
        <w:t>les conditions de reprise et d’arrêt n’ont pas été démontrées.</w:t>
      </w:r>
    </w:p>
    <w:p>
      <w:pPr>
        <w:pStyle w:val="Heading2"/>
      </w:pPr>
      <w:r>
        <w:t>Visa Gate Review</w:t>
      </w:r>
    </w:p>
    <w:tbl>
      <w:tblPr>
        <w:tblStyle w:val="TableGrid"/>
        <w:tblW w:type="dxa" w:w="9500"/>
        <w:jc w:val="left"/>
        <w:tblLayout w:type="fixed"/>
        <w:tblLook w:firstColumn="1" w:firstRow="1" w:lastColumn="0" w:lastRow="0" w:noHBand="0" w:noVBand="1" w:val="04A0"/>
        <w:tblInd w:w="120" w:type="dxa"/>
      </w:tblPr>
      <w:tblGrid>
        <w:gridCol w:w="2500"/>
        <w:gridCol w:w="2600"/>
        <w:gridCol w:w="2200"/>
        <w:gridCol w:w="22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 / signature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Pacturion</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technique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sécurité</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Décideur participant</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bl>
    <w:p>
      <w:pPr>
        <w:spacing w:after="40"/>
      </w:pPr>
    </w:p>
    <w:p>
      <w:r>
        <w:br w:type="page"/>
      </w:r>
    </w:p>
    <w:p>
      <w:pPr>
        <w:keepNext/>
        <w:spacing w:before="440" w:after="100"/>
      </w:pPr>
      <w:r>
        <w:rPr>
          <w:rFonts w:ascii="Arial" w:hAnsi="Arial" w:eastAsia="Arial"/>
          <w:b/>
          <w:color w:val="C6A15B"/>
          <w:sz w:val="16"/>
        </w:rPr>
        <w:t>CHAPITRE 04</w:t>
      </w:r>
    </w:p>
    <w:p>
      <w:pPr>
        <w:pStyle w:val="Heading1"/>
        <w:pageBreakBefore w:val="0"/>
      </w:pPr>
      <w:r>
        <w:t>Participants, rôles et gouvernance</w:t>
      </w:r>
    </w:p>
    <w:tbl>
      <w:tblPr>
        <w:tblStyle w:val="TableGrid"/>
        <w:tblW w:type="dxa" w:w="9500"/>
        <w:jc w:val="left"/>
        <w:tblLayout w:type="fixed"/>
        <w:tblLook w:firstColumn="1" w:firstRow="1" w:lastColumn="0" w:lastRow="0" w:noHBand="0" w:noVBand="1" w:val="04A0"/>
        <w:tblInd w:w="120" w:type="dxa"/>
      </w:tblPr>
      <w:tblGrid>
        <w:gridCol w:w="2600"/>
        <w:gridCol w:w="4400"/>
        <w:gridCol w:w="2500"/>
      </w:tblGrid>
      <w:tr>
        <w:trPr>
          <w:tblHeader w:val="true"/>
          <w:cantSplit/>
        </w:trPr>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4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Responsabilité</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Interdiction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Sponsor Pacturion</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Autorise le pilote et arbitre les changements</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valide pas seul ses propres preuves</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pilote</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Cadrage, planning, collecte et rapport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modifie pas les critères après observation</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technique</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Déploiement, configuration, reprise et export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N’utilise aucun secret ou fonds de production</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sécurité</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 surveillance, incidents et arrêt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minimise pas un événement pour préserver le calendrier</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Décideur métier externe</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Valide le workflow et rend la décision métier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délègue pas sa responsabilité au protocole</w:t>
            </w:r>
          </w:p>
        </w:tc>
      </w:tr>
      <w:tr>
        <w:trPr>
          <w:cantSplit/>
        </w:trPr>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Opérateur externe</w:t>
            </w:r>
          </w:p>
        </w:tc>
        <w:tc>
          <w:tcPr>
            <w:tcW w:type="dxa" w:w="4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Exécute le cas et fournit le retour d’usage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partage aucune donnée ou clé non autorisée</w:t>
            </w:r>
          </w:p>
        </w:tc>
      </w:tr>
      <w:tr>
        <w:trPr>
          <w:cantSplit/>
        </w:trPr>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Observateur</w:t>
            </w:r>
          </w:p>
        </w:tc>
        <w:tc>
          <w:tcPr>
            <w:tcW w:type="dxa" w:w="4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Consigne les faits sans guider artificiellement</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Ne corrige pas les résultats pendant une session mesurée</w:t>
            </w:r>
          </w:p>
        </w:tc>
      </w:tr>
    </w:tbl>
    <w:p>
      <w:pPr>
        <w:spacing w:after="40"/>
      </w:pPr>
    </w:p>
    <w:p>
      <w:pPr>
        <w:pStyle w:val="Heading2"/>
      </w:pPr>
      <w:r>
        <w:t>Règles de gouvernance</w:t>
      </w:r>
    </w:p>
    <w:p>
      <w:pPr>
        <w:numPr>
          <w:ilvl w:val="0"/>
          <w:numId w:val="19"/>
        </w:numPr>
        <w:spacing w:after="80" w:line="283" w:lineRule="auto"/>
      </w:pPr>
      <w:r>
        <w:rPr>
          <w:rFonts w:ascii="Arial" w:hAnsi="Arial" w:eastAsia="Arial"/>
          <w:color w:val="162019"/>
          <w:sz w:val="20"/>
        </w:rPr>
        <w:t>une seule personne est nommée responsable de chaque décision ;</w:t>
      </w:r>
    </w:p>
    <w:p>
      <w:pPr>
        <w:numPr>
          <w:ilvl w:val="0"/>
          <w:numId w:val="19"/>
        </w:numPr>
        <w:spacing w:after="80" w:line="283" w:lineRule="auto"/>
      </w:pPr>
      <w:r>
        <w:rPr>
          <w:rFonts w:ascii="Arial" w:hAnsi="Arial" w:eastAsia="Arial"/>
          <w:color w:val="162019"/>
          <w:sz w:val="20"/>
        </w:rPr>
        <w:t>toute modification du scénario, des règles ou des sources est versionnée ;</w:t>
      </w:r>
    </w:p>
    <w:p>
      <w:pPr>
        <w:numPr>
          <w:ilvl w:val="0"/>
          <w:numId w:val="19"/>
        </w:numPr>
        <w:spacing w:after="80" w:line="283" w:lineRule="auto"/>
      </w:pPr>
      <w:r>
        <w:rPr>
          <w:rFonts w:ascii="Arial" w:hAnsi="Arial" w:eastAsia="Arial"/>
          <w:color w:val="162019"/>
          <w:sz w:val="20"/>
        </w:rPr>
        <w:t>les conflits d’intérêts et doubles rôles sont déclarés ;</w:t>
      </w:r>
    </w:p>
    <w:p>
      <w:pPr>
        <w:numPr>
          <w:ilvl w:val="0"/>
          <w:numId w:val="19"/>
        </w:numPr>
        <w:spacing w:after="80" w:line="283" w:lineRule="auto"/>
      </w:pPr>
      <w:r>
        <w:rPr>
          <w:rFonts w:ascii="Arial" w:hAnsi="Arial" w:eastAsia="Arial"/>
          <w:color w:val="162019"/>
          <w:sz w:val="20"/>
        </w:rPr>
        <w:t>les observations factuelles sont séparées des interprétations ;</w:t>
      </w:r>
    </w:p>
    <w:p>
      <w:pPr>
        <w:numPr>
          <w:ilvl w:val="0"/>
          <w:numId w:val="19"/>
        </w:numPr>
        <w:spacing w:after="80" w:line="283" w:lineRule="auto"/>
      </w:pPr>
      <w:r>
        <w:rPr>
          <w:rFonts w:ascii="Arial" w:hAnsi="Arial" w:eastAsia="Arial"/>
          <w:color w:val="162019"/>
          <w:sz w:val="20"/>
        </w:rPr>
        <w:t>les participants peuvent signaler un problème et demander l’arrêt sans pénalité ;</w:t>
      </w:r>
    </w:p>
    <w:p>
      <w:pPr>
        <w:numPr>
          <w:ilvl w:val="0"/>
          <w:numId w:val="19"/>
        </w:numPr>
        <w:spacing w:after="80" w:line="283" w:lineRule="auto"/>
      </w:pPr>
      <w:r>
        <w:rPr>
          <w:rFonts w:ascii="Arial" w:hAnsi="Arial" w:eastAsia="Arial"/>
          <w:color w:val="162019"/>
          <w:sz w:val="20"/>
        </w:rPr>
        <w:t>Pacturion reste responsable de la conduite du pilote, pas de la décision métier du participant.</w:t>
      </w:r>
    </w:p>
    <w:p>
      <w:pPr>
        <w:pStyle w:val="Heading2"/>
      </w:pPr>
      <w:r>
        <w:t>Cadence de décision</w:t>
      </w:r>
    </w:p>
    <w:tbl>
      <w:tblPr>
        <w:tblStyle w:val="TableGrid"/>
        <w:tblW w:type="dxa" w:w="9500"/>
        <w:jc w:val="left"/>
        <w:tblLayout w:type="fixed"/>
        <w:tblLook w:firstColumn="1" w:firstRow="1" w:lastColumn="0" w:lastRow="0" w:noHBand="0" w:noVBand="1" w:val="04A0"/>
        <w:tblInd w:w="120" w:type="dxa"/>
      </w:tblPr>
      <w:tblGrid>
        <w:gridCol w:w="2800"/>
        <w:gridCol w:w="2600"/>
        <w:gridCol w:w="41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Instance</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Fréquence</w:t>
            </w:r>
          </w:p>
        </w:tc>
        <w:tc>
          <w:tcPr>
            <w:tcW w:type="dxa" w:w="4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Kick-off</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Une fois</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rôles, données, calendrier</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Point opérationnel</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chaque session</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Écarts, incidents, actions immédiates</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Gate intermédiaire</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mi-parcours</w:t>
            </w:r>
          </w:p>
        </w:tc>
        <w:tc>
          <w:tcPr>
            <w:tcW w:type="dxa" w:w="4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Continuer, corriger, suspendre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Comité de clôture</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Fin du pilote</w:t>
            </w:r>
          </w:p>
        </w:tc>
        <w:tc>
          <w:tcPr>
            <w:tcW w:type="dxa" w:w="4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 GO conditionnel, PIVOT ou NO-GO</w:t>
            </w:r>
          </w:p>
        </w:tc>
      </w:tr>
    </w:tbl>
    <w:p>
      <w:pPr>
        <w:spacing w:after="40"/>
      </w:pPr>
    </w:p>
    <w:p>
      <w:r>
        <w:br w:type="page"/>
      </w:r>
    </w:p>
    <w:p>
      <w:pPr>
        <w:keepNext/>
        <w:spacing w:before="440" w:after="100"/>
      </w:pPr>
      <w:r>
        <w:rPr>
          <w:rFonts w:ascii="Arial" w:hAnsi="Arial" w:eastAsia="Arial"/>
          <w:b/>
          <w:color w:val="C6A15B"/>
          <w:sz w:val="16"/>
        </w:rPr>
        <w:t>CHAPITRE 05</w:t>
      </w:r>
    </w:p>
    <w:p>
      <w:pPr>
        <w:pStyle w:val="Heading1"/>
        <w:pageBreakBefore w:val="0"/>
      </w:pPr>
      <w:r>
        <w:t>Workflow pilote de bout en bout</w:t>
      </w:r>
    </w:p>
    <w:p>
      <w:pPr>
        <w:numPr>
          <w:ilvl w:val="0"/>
          <w:numId w:val="20"/>
        </w:numPr>
        <w:spacing w:after="80" w:line="283" w:lineRule="auto"/>
      </w:pPr>
      <w:r>
        <w:rPr>
          <w:rFonts w:ascii="Arial" w:hAnsi="Arial" w:eastAsia="Arial"/>
          <w:color w:val="162019"/>
          <w:sz w:val="20"/>
        </w:rPr>
        <w:t>Qualifier le problème : décrire le workflow actuel, la douleur, la fréquence et l’impact sans présenter ALPHA comme solution acquise.</w:t>
      </w:r>
    </w:p>
    <w:p>
      <w:pPr>
        <w:numPr>
          <w:ilvl w:val="0"/>
          <w:numId w:val="20"/>
        </w:numPr>
        <w:spacing w:after="80" w:line="283" w:lineRule="auto"/>
      </w:pPr>
      <w:r>
        <w:rPr>
          <w:rFonts w:ascii="Arial" w:hAnsi="Arial" w:eastAsia="Arial"/>
          <w:color w:val="162019"/>
          <w:sz w:val="20"/>
        </w:rPr>
        <w:t>Sélectionner le cas : choisir un engagement représentatif, borné, réversible et dépourvu d’effet financier réel.</w:t>
      </w:r>
    </w:p>
    <w:p>
      <w:pPr>
        <w:numPr>
          <w:ilvl w:val="0"/>
          <w:numId w:val="20"/>
        </w:numPr>
        <w:spacing w:after="80" w:line="283" w:lineRule="auto"/>
      </w:pPr>
      <w:r>
        <w:rPr>
          <w:rFonts w:ascii="Arial" w:hAnsi="Arial" w:eastAsia="Arial"/>
          <w:color w:val="162019"/>
          <w:sz w:val="20"/>
        </w:rPr>
        <w:t>Geler les règles : parties, obligations, délais, sources, critères de preuve, décideur et conséquences simulées.</w:t>
      </w:r>
    </w:p>
    <w:p>
      <w:pPr>
        <w:numPr>
          <w:ilvl w:val="0"/>
          <w:numId w:val="20"/>
        </w:numPr>
        <w:spacing w:after="80" w:line="283" w:lineRule="auto"/>
      </w:pPr>
      <w:r>
        <w:rPr>
          <w:rFonts w:ascii="Arial" w:hAnsi="Arial" w:eastAsia="Arial"/>
          <w:color w:val="162019"/>
          <w:sz w:val="20"/>
        </w:rPr>
        <w:t>Préparer l’environnement : versionner le code, enregistrer les adresses testnet, rôles, bytecodes, paramètres et comptes d’essai.</w:t>
      </w:r>
    </w:p>
    <w:p>
      <w:pPr>
        <w:numPr>
          <w:ilvl w:val="0"/>
          <w:numId w:val="20"/>
        </w:numPr>
        <w:spacing w:after="80" w:line="283" w:lineRule="auto"/>
      </w:pPr>
      <w:r>
        <w:rPr>
          <w:rFonts w:ascii="Arial" w:hAnsi="Arial" w:eastAsia="Arial"/>
          <w:color w:val="162019"/>
          <w:sz w:val="20"/>
        </w:rPr>
        <w:t>Effectuer une répétition : exécuter à blanc les chemins critiques, l’arrêt, la sauvegarde, la reprise et l’export.</w:t>
      </w:r>
    </w:p>
    <w:p>
      <w:pPr>
        <w:numPr>
          <w:ilvl w:val="0"/>
          <w:numId w:val="20"/>
        </w:numPr>
        <w:spacing w:after="80" w:line="283" w:lineRule="auto"/>
      </w:pPr>
      <w:r>
        <w:rPr>
          <w:rFonts w:ascii="Arial" w:hAnsi="Arial" w:eastAsia="Arial"/>
          <w:color w:val="162019"/>
          <w:sz w:val="20"/>
        </w:rPr>
        <w:t>Lancer la session mesurée : laisser l’opérateur externe agir avec une assistance limitée et consignée.</w:t>
      </w:r>
    </w:p>
    <w:p>
      <w:pPr>
        <w:numPr>
          <w:ilvl w:val="0"/>
          <w:numId w:val="20"/>
        </w:numPr>
        <w:spacing w:after="80" w:line="283" w:lineRule="auto"/>
      </w:pPr>
      <w:r>
        <w:rPr>
          <w:rFonts w:ascii="Arial" w:hAnsi="Arial" w:eastAsia="Arial"/>
          <w:color w:val="162019"/>
          <w:sz w:val="20"/>
        </w:rPr>
        <w:t>Rendre la décision : le décideur vérifie les preuves, confirme ou conteste le résultat et motive tout écart.</w:t>
      </w:r>
    </w:p>
    <w:p>
      <w:pPr>
        <w:numPr>
          <w:ilvl w:val="0"/>
          <w:numId w:val="20"/>
        </w:numPr>
        <w:spacing w:after="80" w:line="283" w:lineRule="auto"/>
      </w:pPr>
      <w:r>
        <w:rPr>
          <w:rFonts w:ascii="Arial" w:hAnsi="Arial" w:eastAsia="Arial"/>
          <w:color w:val="162019"/>
          <w:sz w:val="20"/>
        </w:rPr>
        <w:t>Réconcilier les traces : relier interface, API, journaux, transactions, blocs, preuves et décision humaine.</w:t>
      </w:r>
    </w:p>
    <w:p>
      <w:pPr>
        <w:numPr>
          <w:ilvl w:val="0"/>
          <w:numId w:val="20"/>
        </w:numPr>
        <w:spacing w:after="80" w:line="283" w:lineRule="auto"/>
      </w:pPr>
      <w:r>
        <w:rPr>
          <w:rFonts w:ascii="Arial" w:hAnsi="Arial" w:eastAsia="Arial"/>
          <w:color w:val="162019"/>
          <w:sz w:val="20"/>
        </w:rPr>
        <w:t>Recueillir le retour : mesurer clarté, effort, confiance calibrée, points de friction et intention de réutilisation.</w:t>
      </w:r>
    </w:p>
    <w:p>
      <w:pPr>
        <w:numPr>
          <w:ilvl w:val="0"/>
          <w:numId w:val="20"/>
        </w:numPr>
        <w:spacing w:after="80" w:line="283" w:lineRule="auto"/>
      </w:pPr>
      <w:r>
        <w:rPr>
          <w:rFonts w:ascii="Arial" w:hAnsi="Arial" w:eastAsia="Arial"/>
          <w:color w:val="162019"/>
          <w:sz w:val="20"/>
        </w:rPr>
        <w:t>Clôturer : révoquer les accès, exporter, archiver, analyser et soumettre la décision finale.</w:t>
      </w:r>
    </w:p>
    <w:p>
      <w:pPr>
        <w:pStyle w:val="Heading2"/>
      </w:pPr>
      <w:r>
        <w:t>Règle de gel</w:t>
      </w:r>
    </w:p>
    <w:p>
      <w:pPr>
        <w:spacing w:before="100" w:after="180" w:line="283" w:lineRule="auto"/>
        <w:ind w:left="227" w:right="170"/>
        <w:shd w:fill="EDF3EF"/>
        <w:pBdr>
          <w:left w:val="single" w:sz="18" w:space="8" w:color="155A3E"/>
        </w:pBdr>
      </w:pPr>
      <w:r>
        <w:rPr>
          <w:rFonts w:ascii="Arial" w:hAnsi="Arial" w:eastAsia="Arial"/>
          <w:b/>
          <w:color w:val="155A3E"/>
          <w:sz w:val="16"/>
        </w:rPr>
        <w:t>AVANT T0</w:t>
        <w:br/>
      </w:r>
      <w:r>
        <w:rPr>
          <w:rFonts w:ascii="Arial" w:hAnsi="Arial" w:eastAsia="Arial"/>
          <w:b w:val="0"/>
          <w:color w:val="162019"/>
          <w:sz w:val="20"/>
        </w:rPr>
        <w:t>Les obligations, sources, critères et conséquences sont figés avant la première observation mesurée. Une modification nécessaire crée une nouvelle version et invalide la comparaison avec les sessions antérieures sauf décision écrite contraire.</w:t>
      </w:r>
    </w:p>
    <w:p>
      <w:pPr>
        <w:pStyle w:val="Heading2"/>
      </w:pPr>
      <w:r>
        <w:t>Assistance autorisée</w:t>
      </w:r>
    </w:p>
    <w:tbl>
      <w:tblPr>
        <w:tblStyle w:val="TableGrid"/>
        <w:tblW w:type="dxa" w:w="9500"/>
        <w:jc w:val="left"/>
        <w:tblLayout w:type="fixed"/>
        <w:tblLook w:firstColumn="1" w:firstRow="1" w:lastColumn="0" w:lastRow="0" w:noHBand="0" w:noVBand="1" w:val="04A0"/>
        <w:tblInd w:w="120" w:type="dxa"/>
      </w:tblPr>
      <w:tblGrid>
        <w:gridCol w:w="1900"/>
        <w:gridCol w:w="4200"/>
        <w:gridCol w:w="34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4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Exemple</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Traitement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A0 — autonome</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L’utilisateur termine sans aide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Résultat nominal</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A1 — clarification</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Rappel d’une consigne existante</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Consigner le temps et la question</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A2 — guidage</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Indication de l’étape ou du contrôle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Écart d’utilisabilité</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A3 — intervention</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L’équipe agit à la place de l’utilisateur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Session non autonome à rejouer</w:t>
            </w:r>
          </w:p>
        </w:tc>
      </w:tr>
    </w:tbl>
    <w:p>
      <w:pPr>
        <w:spacing w:after="40"/>
      </w:pPr>
    </w:p>
    <w:p>
      <w:r>
        <w:br w:type="page"/>
      </w:r>
    </w:p>
    <w:p>
      <w:pPr>
        <w:keepNext/>
        <w:spacing w:before="440" w:after="100"/>
      </w:pPr>
      <w:r>
        <w:rPr>
          <w:rFonts w:ascii="Arial" w:hAnsi="Arial" w:eastAsia="Arial"/>
          <w:b/>
          <w:color w:val="C6A15B"/>
          <w:sz w:val="16"/>
        </w:rPr>
        <w:t>CHAPITRE 06</w:t>
      </w:r>
    </w:p>
    <w:p>
      <w:pPr>
        <w:pStyle w:val="Heading1"/>
        <w:pageBreakBefore w:val="0"/>
      </w:pPr>
      <w:r>
        <w:t>Plan de scénarios</w:t>
      </w:r>
    </w:p>
    <w:p>
      <w:pPr>
        <w:spacing w:after="140" w:line="307" w:lineRule="auto"/>
      </w:pPr>
      <w:r>
        <w:rPr>
          <w:rFonts w:ascii="Arial" w:hAnsi="Arial" w:eastAsia="Arial"/>
          <w:i w:val="0"/>
          <w:color w:val="162019"/>
          <w:sz w:val="20"/>
        </w:rPr>
        <w:t>Chaque scénario reçoit un identifiant, une version, un prérequis, des données d’essai, un résultat attendu et un lien vers les preuves. Les scénarios critiques doivent être rejouables.</w:t>
      </w:r>
    </w:p>
    <w:tbl>
      <w:tblPr>
        <w:tblStyle w:val="TableGrid"/>
        <w:tblW w:type="dxa" w:w="9500"/>
        <w:jc w:val="left"/>
        <w:tblLayout w:type="fixed"/>
        <w:tblLook w:firstColumn="1" w:firstRow="1" w:lastColumn="0" w:lastRow="0" w:noHBand="0" w:noVBand="1" w:val="04A0"/>
        <w:tblInd w:w="120" w:type="dxa"/>
      </w:tblPr>
      <w:tblGrid>
        <w:gridCol w:w="1000"/>
        <w:gridCol w:w="3500"/>
        <w:gridCol w:w="3600"/>
        <w:gridCol w:w="1400"/>
      </w:tblGrid>
      <w:tr>
        <w:trPr>
          <w:tblHeader w:val="true"/>
          <w:cantSplit/>
        </w:trPr>
        <w:tc>
          <w:tcPr>
            <w:tcW w:type="dxa" w:w="1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Scénario</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 attendu</w:t>
            </w:r>
          </w:p>
        </w:tc>
        <w:tc>
          <w:tcPr>
            <w:tcW w:type="dxa" w:w="1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Criticité</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S01</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Chemin nominal complet</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Engagement, preuve et décision reliés sans ambiguïté</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S02</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 incomplète</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Refus ou attente conforme à la règle gelée</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S03</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 non autorisée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 rejetée et événement journalisé</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S04</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Délai expiré</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État et conséquence simulée conformes</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MAJEUR</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S05</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Action par mauvais rôle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Action empêchée sans corruption d’état</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S06</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Soumission dupliquée</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Idempotence ou doublon explicite et maîtrisé</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MAJEUR</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S07</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Interruption et reprise</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Reprise depuis un état cohérent et vérifiable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S08</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Révocation d’accès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 retiré et tentative ultérieure bloquée</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r>
      <w:tr>
        <w:trPr>
          <w:cantSplit/>
        </w:trPr>
        <w:tc>
          <w:tcPr>
            <w:tcW w:type="dxa" w:w="1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S09</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Contestation du résultat</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Dossier de preuve exportable pour revue humaine</w:t>
            </w:r>
          </w:p>
        </w:tc>
        <w:tc>
          <w:tcPr>
            <w:tcW w:type="dxa" w:w="1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MAJEUR</w:t>
            </w:r>
          </w:p>
        </w:tc>
      </w:tr>
      <w:tr>
        <w:trPr>
          <w:cantSplit/>
        </w:trPr>
        <w:tc>
          <w:tcPr>
            <w:tcW w:type="dxa" w:w="1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S10</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Export et reproduction</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 tiers autorisé retrouve le résultat et sa chaîne de preuve</w:t>
            </w:r>
          </w:p>
        </w:tc>
        <w:tc>
          <w:tcPr>
            <w:tcW w:type="dxa" w:w="1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w:t>
            </w:r>
          </w:p>
        </w:tc>
      </w:tr>
    </w:tbl>
    <w:p>
      <w:pPr>
        <w:spacing w:after="40"/>
      </w:pPr>
    </w:p>
    <w:p>
      <w:pPr>
        <w:pStyle w:val="Heading2"/>
      </w:pPr>
      <w:r>
        <w:t>Fiche minimale par scénario</w:t>
      </w:r>
    </w:p>
    <w:p>
      <w:pPr>
        <w:numPr>
          <w:ilvl w:val="0"/>
          <w:numId w:val="21"/>
        </w:numPr>
        <w:spacing w:after="80" w:line="283" w:lineRule="auto"/>
      </w:pPr>
      <w:r>
        <w:rPr>
          <w:rFonts w:ascii="Arial" w:hAnsi="Arial" w:eastAsia="Arial"/>
          <w:color w:val="162019"/>
          <w:sz w:val="20"/>
        </w:rPr>
        <w:t>identifiant, objectif, version et propriétaire ;</w:t>
      </w:r>
    </w:p>
    <w:p>
      <w:pPr>
        <w:numPr>
          <w:ilvl w:val="0"/>
          <w:numId w:val="21"/>
        </w:numPr>
        <w:spacing w:after="80" w:line="283" w:lineRule="auto"/>
      </w:pPr>
      <w:r>
        <w:rPr>
          <w:rFonts w:ascii="Arial" w:hAnsi="Arial" w:eastAsia="Arial"/>
          <w:color w:val="162019"/>
          <w:sz w:val="20"/>
        </w:rPr>
        <w:t>préconditions, rôles et données d’essai ;</w:t>
      </w:r>
    </w:p>
    <w:p>
      <w:pPr>
        <w:numPr>
          <w:ilvl w:val="0"/>
          <w:numId w:val="21"/>
        </w:numPr>
        <w:spacing w:after="80" w:line="283" w:lineRule="auto"/>
      </w:pPr>
      <w:r>
        <w:rPr>
          <w:rFonts w:ascii="Arial" w:hAnsi="Arial" w:eastAsia="Arial"/>
          <w:color w:val="162019"/>
          <w:sz w:val="20"/>
        </w:rPr>
        <w:t>étapes horodatées et assistance reçue ;</w:t>
      </w:r>
    </w:p>
    <w:p>
      <w:pPr>
        <w:numPr>
          <w:ilvl w:val="0"/>
          <w:numId w:val="21"/>
        </w:numPr>
        <w:spacing w:after="80" w:line="283" w:lineRule="auto"/>
      </w:pPr>
      <w:r>
        <w:rPr>
          <w:rFonts w:ascii="Arial" w:hAnsi="Arial" w:eastAsia="Arial"/>
          <w:color w:val="162019"/>
          <w:sz w:val="20"/>
        </w:rPr>
        <w:t>résultat attendu, résultat observé et verdict ;</w:t>
      </w:r>
    </w:p>
    <w:p>
      <w:pPr>
        <w:numPr>
          <w:ilvl w:val="0"/>
          <w:numId w:val="21"/>
        </w:numPr>
        <w:spacing w:after="80" w:line="283" w:lineRule="auto"/>
      </w:pPr>
      <w:r>
        <w:rPr>
          <w:rFonts w:ascii="Arial" w:hAnsi="Arial" w:eastAsia="Arial"/>
          <w:color w:val="162019"/>
          <w:sz w:val="20"/>
        </w:rPr>
        <w:t>identifiants de transactions, blocs, journaux et fichiers ;</w:t>
      </w:r>
    </w:p>
    <w:p>
      <w:pPr>
        <w:numPr>
          <w:ilvl w:val="0"/>
          <w:numId w:val="21"/>
        </w:numPr>
        <w:spacing w:after="80" w:line="283" w:lineRule="auto"/>
      </w:pPr>
      <w:r>
        <w:rPr>
          <w:rFonts w:ascii="Arial" w:hAnsi="Arial" w:eastAsia="Arial"/>
          <w:color w:val="162019"/>
          <w:sz w:val="20"/>
        </w:rPr>
        <w:t>écart, impact, action corrective et décision de rejeu.</w:t>
      </w:r>
    </w:p>
    <w:p>
      <w:r>
        <w:br w:type="page"/>
      </w:r>
    </w:p>
    <w:p>
      <w:pPr>
        <w:keepNext/>
        <w:spacing w:before="440" w:after="100"/>
      </w:pPr>
      <w:r>
        <w:rPr>
          <w:rFonts w:ascii="Arial" w:hAnsi="Arial" w:eastAsia="Arial"/>
          <w:b/>
          <w:color w:val="C6A15B"/>
          <w:sz w:val="16"/>
        </w:rPr>
        <w:t>CHAPITRE 07</w:t>
      </w:r>
    </w:p>
    <w:p>
      <w:pPr>
        <w:pStyle w:val="Heading1"/>
        <w:pageBreakBefore w:val="0"/>
      </w:pPr>
      <w:r>
        <w:t>Données, preuves et traçabilité</w:t>
      </w:r>
    </w:p>
    <w:p>
      <w:pPr>
        <w:pStyle w:val="Heading2"/>
      </w:pPr>
      <w:r>
        <w:t>Principe</w:t>
      </w:r>
    </w:p>
    <w:p>
      <w:pPr>
        <w:spacing w:after="140" w:line="307" w:lineRule="auto"/>
      </w:pPr>
      <w:r>
        <w:rPr>
          <w:rFonts w:ascii="Arial" w:hAnsi="Arial" w:eastAsia="Arial"/>
          <w:i w:val="0"/>
          <w:color w:val="162019"/>
          <w:sz w:val="20"/>
        </w:rPr>
        <w:t>Le pilote démontre une chaîne de décision, pas une vérité absolue sur le monde extérieur. La qualité du résultat dépend de règles explicites, d’acteurs autorisés et de preuves dont l’origine, l’intégrité et la portée sont documentées.</w:t>
      </w:r>
    </w:p>
    <w:tbl>
      <w:tblPr>
        <w:tblStyle w:val="TableGrid"/>
        <w:tblW w:type="dxa" w:w="9500"/>
        <w:jc w:val="left"/>
        <w:tblLayout w:type="fixed"/>
        <w:tblLook w:firstColumn="1" w:firstRow="1" w:lastColumn="0" w:lastRow="0" w:noHBand="0" w:noVBand="1" w:val="04A0"/>
        <w:tblInd w:w="120" w:type="dxa"/>
      </w:tblPr>
      <w:tblGrid>
        <w:gridCol w:w="2100"/>
        <w:gridCol w:w="4500"/>
        <w:gridCol w:w="29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Objet</w:t>
            </w:r>
          </w:p>
        </w:tc>
        <w:tc>
          <w:tcPr>
            <w:tcW w:type="dxa" w:w="4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Identifiants à conserver</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logicielle</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Commit, dépendances, build, configuration</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Build reproductible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Déploiement</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Réseau, chain ID, adresses, bytecodes, rôles</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Réconciliation registre/explorateur</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Engagement</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 version, parties, obligations, échéance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Hash et gel avant T0</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Source, auteur, horodatage, format, empreinte</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Autorisation et intégrité</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Action</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Acteur, rôle, appel, transaction, bloc, statut</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Traçabilité bout en bout</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Règle appliquée, résultat technique, validation humaine</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Motivation et visa</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Chronologie, portée, impact, traitement</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Lien dossier sécurité</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Retour utilisateur</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Question, réponse, session, consentement</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Séparation données/identité</w:t>
            </w:r>
          </w:p>
        </w:tc>
      </w:tr>
    </w:tbl>
    <w:p>
      <w:pPr>
        <w:spacing w:after="40"/>
      </w:pPr>
    </w:p>
    <w:p>
      <w:pPr>
        <w:pStyle w:val="Heading2"/>
      </w:pPr>
      <w:r>
        <w:t>Convention de nommage</w:t>
      </w:r>
    </w:p>
    <w:p>
      <w:pPr>
        <w:spacing w:after="140" w:line="307" w:lineRule="auto"/>
      </w:pPr>
      <w:r>
        <w:rPr>
          <w:rFonts w:ascii="Arial" w:hAnsi="Arial" w:eastAsia="Arial"/>
          <w:i w:val="0"/>
          <w:color w:val="162019"/>
          <w:sz w:val="20"/>
        </w:rPr>
        <w:t>Format recommandé : PX-[PILOTE]-[SESSION]-[SCÉNARIO]-[TYPE]-[VERSION]. Exemple : PX-01-03-S05-JOURNAL-V1. Les preuves brutes ne sont jamais remplacées ; une correction crée une nouvelle version liée à l’original.</w:t>
      </w:r>
    </w:p>
    <w:p>
      <w:pPr>
        <w:pStyle w:val="Heading2"/>
      </w:pPr>
      <w:r>
        <w:t>Données personnelles</w:t>
      </w:r>
    </w:p>
    <w:p>
      <w:pPr>
        <w:numPr>
          <w:ilvl w:val="0"/>
          <w:numId w:val="22"/>
        </w:numPr>
        <w:spacing w:after="80" w:line="283" w:lineRule="auto"/>
      </w:pPr>
      <w:r>
        <w:rPr>
          <w:rFonts w:ascii="Arial" w:hAnsi="Arial" w:eastAsia="Arial"/>
          <w:color w:val="162019"/>
          <w:sz w:val="20"/>
        </w:rPr>
        <w:t>n’utiliser que les données nécessaires au test ;</w:t>
      </w:r>
    </w:p>
    <w:p>
      <w:pPr>
        <w:numPr>
          <w:ilvl w:val="0"/>
          <w:numId w:val="22"/>
        </w:numPr>
        <w:spacing w:after="80" w:line="283" w:lineRule="auto"/>
      </w:pPr>
      <w:r>
        <w:rPr>
          <w:rFonts w:ascii="Arial" w:hAnsi="Arial" w:eastAsia="Arial"/>
          <w:color w:val="162019"/>
          <w:sz w:val="20"/>
        </w:rPr>
        <w:t>préférer des identifiants pseudonymes et des contenus synthétiques ;</w:t>
      </w:r>
    </w:p>
    <w:p>
      <w:pPr>
        <w:numPr>
          <w:ilvl w:val="0"/>
          <w:numId w:val="22"/>
        </w:numPr>
        <w:spacing w:after="80" w:line="283" w:lineRule="auto"/>
      </w:pPr>
      <w:r>
        <w:rPr>
          <w:rFonts w:ascii="Arial" w:hAnsi="Arial" w:eastAsia="Arial"/>
          <w:color w:val="162019"/>
          <w:sz w:val="20"/>
        </w:rPr>
        <w:t>documenter finalité, accès, durée, lieu de traitement et suppression ;</w:t>
      </w:r>
    </w:p>
    <w:p>
      <w:pPr>
        <w:numPr>
          <w:ilvl w:val="0"/>
          <w:numId w:val="22"/>
        </w:numPr>
        <w:spacing w:after="80" w:line="283" w:lineRule="auto"/>
      </w:pPr>
      <w:r>
        <w:rPr>
          <w:rFonts w:ascii="Arial" w:hAnsi="Arial" w:eastAsia="Arial"/>
          <w:color w:val="162019"/>
          <w:sz w:val="20"/>
        </w:rPr>
        <w:t>recueillir l’accord requis pour les observations et enregistrements ;</w:t>
      </w:r>
    </w:p>
    <w:p>
      <w:pPr>
        <w:numPr>
          <w:ilvl w:val="0"/>
          <w:numId w:val="22"/>
        </w:numPr>
        <w:spacing w:after="80" w:line="283" w:lineRule="auto"/>
      </w:pPr>
      <w:r>
        <w:rPr>
          <w:rFonts w:ascii="Arial" w:hAnsi="Arial" w:eastAsia="Arial"/>
          <w:color w:val="162019"/>
          <w:sz w:val="20"/>
        </w:rPr>
        <w:t>ne jamais collecter de clé privée, seed phrase, secret ou donnée sensible non indispensable.</w:t>
      </w:r>
    </w:p>
    <w:p>
      <w:r>
        <w:br w:type="page"/>
      </w:r>
    </w:p>
    <w:p>
      <w:pPr>
        <w:keepNext/>
        <w:spacing w:before="440" w:after="100"/>
      </w:pPr>
      <w:r>
        <w:rPr>
          <w:rFonts w:ascii="Arial" w:hAnsi="Arial" w:eastAsia="Arial"/>
          <w:b/>
          <w:color w:val="C6A15B"/>
          <w:sz w:val="16"/>
        </w:rPr>
        <w:t>CHAPITRE 08</w:t>
      </w:r>
    </w:p>
    <w:p>
      <w:pPr>
        <w:pStyle w:val="Heading1"/>
        <w:pageBreakBefore w:val="0"/>
      </w:pPr>
      <w:r>
        <w:t>Sécurité, incidents et arrêt</w:t>
      </w:r>
    </w:p>
    <w:p>
      <w:pPr>
        <w:pStyle w:val="Heading2"/>
      </w:pPr>
      <w:r>
        <w:t>Conditions techniques</w:t>
      </w:r>
    </w:p>
    <w:p>
      <w:pPr>
        <w:numPr>
          <w:ilvl w:val="0"/>
          <w:numId w:val="23"/>
        </w:numPr>
        <w:spacing w:after="80" w:line="283" w:lineRule="auto"/>
      </w:pPr>
      <w:r>
        <w:rPr>
          <w:rFonts w:ascii="Arial" w:hAnsi="Arial" w:eastAsia="Arial"/>
          <w:color w:val="162019"/>
          <w:sz w:val="20"/>
        </w:rPr>
        <w:t>comptes dédiés au pilote et privilège minimal ;</w:t>
      </w:r>
    </w:p>
    <w:p>
      <w:pPr>
        <w:numPr>
          <w:ilvl w:val="0"/>
          <w:numId w:val="23"/>
        </w:numPr>
        <w:spacing w:after="80" w:line="283" w:lineRule="auto"/>
      </w:pPr>
      <w:r>
        <w:rPr>
          <w:rFonts w:ascii="Arial" w:hAnsi="Arial" w:eastAsia="Arial"/>
          <w:color w:val="162019"/>
          <w:sz w:val="20"/>
        </w:rPr>
        <w:t>secrets d’essai séparés, rotation et révocation prévues ;</w:t>
      </w:r>
    </w:p>
    <w:p>
      <w:pPr>
        <w:numPr>
          <w:ilvl w:val="0"/>
          <w:numId w:val="23"/>
        </w:numPr>
        <w:spacing w:after="80" w:line="283" w:lineRule="auto"/>
      </w:pPr>
      <w:r>
        <w:rPr>
          <w:rFonts w:ascii="Arial" w:hAnsi="Arial" w:eastAsia="Arial"/>
          <w:color w:val="162019"/>
          <w:sz w:val="20"/>
        </w:rPr>
        <w:t>aucune clé de production ni wallet contenant une valeur réelle ;</w:t>
      </w:r>
    </w:p>
    <w:p>
      <w:pPr>
        <w:numPr>
          <w:ilvl w:val="0"/>
          <w:numId w:val="23"/>
        </w:numPr>
        <w:spacing w:after="80" w:line="283" w:lineRule="auto"/>
      </w:pPr>
      <w:r>
        <w:rPr>
          <w:rFonts w:ascii="Arial" w:hAnsi="Arial" w:eastAsia="Arial"/>
          <w:color w:val="162019"/>
          <w:sz w:val="20"/>
        </w:rPr>
        <w:t>journalisation horodatée et sauvegarde avant chaque session ;</w:t>
      </w:r>
    </w:p>
    <w:p>
      <w:pPr>
        <w:numPr>
          <w:ilvl w:val="0"/>
          <w:numId w:val="23"/>
        </w:numPr>
        <w:spacing w:after="80" w:line="283" w:lineRule="auto"/>
      </w:pPr>
      <w:r>
        <w:rPr>
          <w:rFonts w:ascii="Arial" w:hAnsi="Arial" w:eastAsia="Arial"/>
          <w:color w:val="162019"/>
          <w:sz w:val="20"/>
        </w:rPr>
        <w:t>canal d’escalade testé et responsables joignables pendant l’exécution ;</w:t>
      </w:r>
    </w:p>
    <w:p>
      <w:pPr>
        <w:numPr>
          <w:ilvl w:val="0"/>
          <w:numId w:val="23"/>
        </w:numPr>
        <w:spacing w:after="80" w:line="283" w:lineRule="auto"/>
      </w:pPr>
      <w:r>
        <w:rPr>
          <w:rFonts w:ascii="Arial" w:hAnsi="Arial" w:eastAsia="Arial"/>
          <w:color w:val="162019"/>
          <w:sz w:val="20"/>
        </w:rPr>
        <w:t>procédure de retour à un état sûr démontrée avant T0.</w:t>
      </w:r>
    </w:p>
    <w:p>
      <w:pPr>
        <w:pStyle w:val="Heading2"/>
      </w:pPr>
      <w:r>
        <w:t>Déclencheurs d’arrêt immédiat</w:t>
      </w:r>
    </w:p>
    <w:tbl>
      <w:tblPr>
        <w:tblStyle w:val="TableGrid"/>
        <w:tblW w:type="dxa" w:w="9500"/>
        <w:jc w:val="left"/>
        <w:tblLayout w:type="fixed"/>
        <w:tblLook w:firstColumn="1" w:firstRow="1" w:lastColumn="0" w:lastRow="0" w:noHBand="0" w:noVBand="1" w:val="04A0"/>
        <w:tblInd w:w="120" w:type="dxa"/>
      </w:tblPr>
      <w:tblGrid>
        <w:gridCol w:w="3000"/>
        <w:gridCol w:w="3900"/>
        <w:gridCol w:w="26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Déclencheur</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 immédiate</w:t>
            </w:r>
          </w:p>
        </w:tc>
        <w:tc>
          <w:tcPr>
            <w:tcW w:type="dxa" w:w="2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Reprise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 non autorisé ou secret exposé</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Suspendre, isoler, révoquer et préserver les traces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analyse et nouveau visa G3</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Risque de fonds ou actif réel</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Bloquer toute action et vérifier les comptes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Uniquement après preuve d’absence de valeur</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Perte ou corruption de preuve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Geler la session et dupliquer les supports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réconciliation ou rejeu complet</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 non prévue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Arrêter la collecte et restreindre l’accès</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décision données/sécurité</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Résultat incohérent ou non déterministe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Suspendre les scénarios liés</w:t>
            </w:r>
          </w:p>
        </w:tc>
        <w:tc>
          <w:tcPr>
            <w:tcW w:type="dxa" w:w="2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cause racine et test de non-régression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Demande hors périmètre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Refuser l’exécution et ouvrir une demande de changement</w:t>
            </w:r>
          </w:p>
        </w:tc>
        <w:tc>
          <w:tcPr>
            <w:tcW w:type="dxa" w:w="2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Après approbation formelle</w:t>
            </w:r>
          </w:p>
        </w:tc>
      </w:tr>
    </w:tbl>
    <w:p>
      <w:pPr>
        <w:spacing w:after="40"/>
      </w:pPr>
    </w:p>
    <w:p>
      <w:pPr>
        <w:pStyle w:val="Heading2"/>
      </w:pPr>
      <w:r>
        <w:t>Niveaux d’incident</w:t>
      </w:r>
    </w:p>
    <w:tbl>
      <w:tblPr>
        <w:tblStyle w:val="TableGrid"/>
        <w:tblW w:type="dxa" w:w="9500"/>
        <w:jc w:val="left"/>
        <w:tblLayout w:type="fixed"/>
        <w:tblLook w:firstColumn="1" w:firstRow="1" w:lastColumn="0" w:lastRow="0" w:noHBand="0" w:noVBand="1" w:val="04A0"/>
        <w:tblInd w:w="120" w:type="dxa"/>
      </w:tblPr>
      <w:tblGrid>
        <w:gridCol w:w="1600"/>
        <w:gridCol w:w="5200"/>
        <w:gridCol w:w="2700"/>
      </w:tblGrid>
      <w:tr>
        <w:trPr>
          <w:tblHeader w:val="true"/>
          <w:cantSplit/>
        </w:trPr>
        <w:tc>
          <w:tcPr>
            <w:tcW w:type="dxa" w:w="1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5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Exemple</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SEV-1</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Atteinte grave, fonds réels, compromission majeure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Arrêt définitif jusqu’au comité</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SEV-2</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Perte d’intégrité, accès indu, donnée personnelle exposée</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Suspension et analyse formelle</w:t>
            </w:r>
          </w:p>
        </w:tc>
      </w:tr>
      <w:tr>
        <w:trPr>
          <w:cantSplit/>
        </w:trPr>
        <w:tc>
          <w:tcPr>
            <w:tcW w:type="dxa" w:w="1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SEV-3</w:t>
            </w:r>
          </w:p>
        </w:tc>
        <w:tc>
          <w:tcPr>
            <w:tcW w:type="dxa" w:w="5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Échec fonctionnel majeur ou reprise défaillante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Correction et rejeu obligatoire</w:t>
            </w:r>
          </w:p>
        </w:tc>
      </w:tr>
      <w:tr>
        <w:trPr>
          <w:cantSplit/>
        </w:trPr>
        <w:tc>
          <w:tcPr>
            <w:tcW w:type="dxa" w:w="1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SEV-4</w:t>
            </w:r>
          </w:p>
        </w:tc>
        <w:tc>
          <w:tcPr>
            <w:tcW w:type="dxa" w:w="5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Friction mineure sans effet sur l’intégrité</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Consigner et traiter dans le backlog</w:t>
            </w:r>
          </w:p>
        </w:tc>
      </w:tr>
    </w:tbl>
    <w:p>
      <w:pPr>
        <w:spacing w:after="40"/>
      </w:pPr>
    </w:p>
    <w:p>
      <w:r>
        <w:br w:type="page"/>
      </w:r>
    </w:p>
    <w:p>
      <w:pPr>
        <w:keepNext/>
        <w:spacing w:before="440" w:after="100"/>
      </w:pPr>
      <w:r>
        <w:rPr>
          <w:rFonts w:ascii="Arial" w:hAnsi="Arial" w:eastAsia="Arial"/>
          <w:b/>
          <w:color w:val="C6A15B"/>
          <w:sz w:val="16"/>
        </w:rPr>
        <w:t>CHAPITRE 09</w:t>
      </w:r>
    </w:p>
    <w:p>
      <w:pPr>
        <w:pStyle w:val="Heading1"/>
        <w:pageBreakBefore w:val="0"/>
      </w:pPr>
      <w:r>
        <w:t>Mesures et critères d’acceptation</w:t>
      </w:r>
    </w:p>
    <w:p>
      <w:pPr>
        <w:pStyle w:val="Heading2"/>
      </w:pPr>
      <w:r>
        <w:t>Critères critiques — obligatoires</w:t>
      </w:r>
    </w:p>
    <w:tbl>
      <w:tblPr>
        <w:tblStyle w:val="TableGrid"/>
        <w:tblW w:type="dxa" w:w="9500"/>
        <w:jc w:val="left"/>
        <w:tblLayout w:type="fixed"/>
        <w:tblLook w:firstColumn="1" w:firstRow="1" w:lastColumn="0" w:lastRow="0" w:noHBand="0" w:noVBand="1" w:val="04A0"/>
        <w:tblInd w:w="120" w:type="dxa"/>
      </w:tblPr>
      <w:tblGrid>
        <w:gridCol w:w="3000"/>
        <w:gridCol w:w="3500"/>
        <w:gridCol w:w="30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Seuil</w:t>
            </w:r>
          </w:p>
        </w:tc>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Scénarios critiques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100 % PASS ou écart explicitement bloquant</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PV de test et traces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Traçabilité</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100 % des décisions reliées à leurs règles et preuves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Export + contrôle d’échantillon</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Autorisations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action indue acceptée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S03, S05 et S08</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Reprise</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 moins un test de reprise complet PASS</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S07 et journaux</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Incidents</w:t>
            </w:r>
          </w:p>
        </w:tc>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SEV-1/SEV-2 ouvert à la clôture</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des incidents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w:t>
            </w:r>
          </w:p>
        </w:tc>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mainnet, fonds réel ou fonction token</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Configuration et rapprochement</w:t>
            </w:r>
          </w:p>
        </w:tc>
      </w:tr>
    </w:tbl>
    <w:p>
      <w:pPr>
        <w:spacing w:after="40"/>
      </w:pPr>
    </w:p>
    <w:p>
      <w:pPr>
        <w:pStyle w:val="Heading2"/>
      </w:pPr>
      <w:r>
        <w:t>Seuils produit proposés — à approuver</w:t>
      </w:r>
    </w:p>
    <w:tbl>
      <w:tblPr>
        <w:tblStyle w:val="TableGrid"/>
        <w:tblW w:type="dxa" w:w="9500"/>
        <w:jc w:val="left"/>
        <w:tblLayout w:type="fixed"/>
        <w:tblLook w:firstColumn="1" w:firstRow="1" w:lastColumn="0" w:lastRow="0" w:noHBand="0" w:noVBand="1" w:val="04A0"/>
        <w:tblInd w:w="120" w:type="dxa"/>
      </w:tblPr>
      <w:tblGrid>
        <w:gridCol w:w="3000"/>
        <w:gridCol w:w="2900"/>
        <w:gridCol w:w="36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Mesure</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Seuil proposé</w:t>
            </w:r>
          </w:p>
        </w:tc>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Lecture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représentatifs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5 cas complets minimum, dont 2 cas d’exception</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Évite un résultat fondé sur une seule démonstration</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Autonomie</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80 % des tâches en A0 ou A1</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Mesure l’utilisabilité sans masquer l’assistance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de traitement</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Mesure avant/après ; cible signée avant T0</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Aucune amélioration ne doit être inventée après coup</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Compréhension</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 4/5 sur règles, preuves et résultat</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Vérifie la clarté perçue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Intention de poursuivre</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écrite du participant</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Signal plus fort qu’une satisfaction vague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Charge support</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et interventions consignés</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Doit rester compatible avec une bêta</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DISCIPLINE</w:t>
        <w:br/>
      </w:r>
      <w:r>
        <w:rPr>
          <w:rFonts w:ascii="Arial" w:hAnsi="Arial" w:eastAsia="Arial"/>
          <w:b w:val="0"/>
          <w:color w:val="162019"/>
          <w:sz w:val="20"/>
        </w:rPr>
        <w:t>Les seuils produit peuvent être adaptés au cas d’usage, mais uniquement avant T0. Les critères critiques ne sont pas négociables.</w:t>
      </w:r>
    </w:p>
    <w:p>
      <w:r>
        <w:br w:type="page"/>
      </w:r>
    </w:p>
    <w:p>
      <w:pPr>
        <w:keepNext/>
        <w:spacing w:before="440" w:after="100"/>
      </w:pPr>
      <w:r>
        <w:rPr>
          <w:rFonts w:ascii="Arial" w:hAnsi="Arial" w:eastAsia="Arial"/>
          <w:b/>
          <w:color w:val="C6A15B"/>
          <w:sz w:val="16"/>
        </w:rPr>
        <w:t>CHAPITRE 10</w:t>
      </w:r>
    </w:p>
    <w:p>
      <w:pPr>
        <w:pStyle w:val="Heading1"/>
        <w:pageBreakBefore w:val="0"/>
      </w:pPr>
      <w:r>
        <w:t>Calendrier proposé</w:t>
      </w:r>
    </w:p>
    <w:p>
      <w:pPr>
        <w:keepNext/>
        <w:spacing w:after="320"/>
      </w:pPr>
      <w:r>
        <w:rPr>
          <w:rFonts w:ascii="Arial" w:hAnsi="Arial" w:eastAsia="Arial"/>
          <w:i/>
          <w:color w:val="66736B"/>
          <w:sz w:val="25"/>
        </w:rPr>
        <w:t>Cadre de quatre semaines à adapter avant signature.</w:t>
      </w:r>
    </w:p>
    <w:tbl>
      <w:tblPr>
        <w:tblStyle w:val="TableGrid"/>
        <w:tblW w:type="dxa" w:w="9500"/>
        <w:jc w:val="left"/>
        <w:tblLayout w:type="fixed"/>
        <w:tblLook w:firstColumn="1" w:firstRow="1" w:lastColumn="0" w:lastRow="0" w:noHBand="0" w:noVBand="1" w:val="04A0"/>
        <w:tblInd w:w="120" w:type="dxa"/>
      </w:tblPr>
      <w:tblGrid>
        <w:gridCol w:w="2300"/>
        <w:gridCol w:w="4700"/>
        <w:gridCol w:w="25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Période</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Travaux</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Sortie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Semaine 0 — Qualification</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Entretien, workflow actuel, risques, données, décideur et faisabilité</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Fiche participant + décision de cadrage</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Semaine 1 — Conception</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Règles, sources, scénarios, critères, rôles et environnement</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 gelée + G0/G1</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Semaine 2 — Préparation</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Déploiement, sécurité, reprise, répétition et formation minimale</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G2/G3/G4/G5 + visa lancement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Semaine 3 — Exécution</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Sessions mesurées, journaux, incidents et point intermédiaire</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Dossier de preuves brut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Semaine 4 — Clôture</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Réconciliation, entretiens, analyse, restitution et décision</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pilote externe</w:t>
            </w:r>
          </w:p>
        </w:tc>
      </w:tr>
    </w:tbl>
    <w:p>
      <w:pPr>
        <w:spacing w:after="40"/>
      </w:pPr>
    </w:p>
    <w:p>
      <w:pPr>
        <w:pStyle w:val="Heading2"/>
      </w:pPr>
      <w:r>
        <w:t>Jalons</w:t>
      </w:r>
    </w:p>
    <w:tbl>
      <w:tblPr>
        <w:tblStyle w:val="TableGrid"/>
        <w:tblW w:type="dxa" w:w="9500"/>
        <w:jc w:val="left"/>
        <w:tblLayout w:type="fixed"/>
        <w:tblLook w:firstColumn="1" w:firstRow="1" w:lastColumn="0" w:lastRow="0" w:noHBand="0" w:noVBand="1" w:val="04A0"/>
        <w:tblInd w:w="120" w:type="dxa"/>
      </w:tblPr>
      <w:tblGrid>
        <w:gridCol w:w="2200"/>
        <w:gridCol w:w="4900"/>
        <w:gridCol w:w="2400"/>
      </w:tblGrid>
      <w:tr>
        <w:trPr>
          <w:tblHeader w:val="true"/>
          <w:cantSplit/>
        </w:trPr>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Jalon</w:t>
            </w:r>
          </w:p>
        </w:tc>
        <w:tc>
          <w:tcPr>
            <w:tcW w:type="dxa" w:w="4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passage</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Responsable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J0 — Cadré</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Problème, participant, décideur et cas retenus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pilote</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J1 — Gelé</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Règles, sources, scénarios et seuils versionnés</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Métier + Pacturion</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J2 — Prêt</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 à G5 PASS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Comité de lancement</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J3 — Exécuté</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Sessions terminées ou arrêt motivé</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pilote</w:t>
            </w:r>
          </w:p>
        </w:tc>
      </w:tr>
      <w:tr>
        <w:trPr>
          <w:cantSplit/>
        </w:trPr>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J4 — Réconcilié</w:t>
            </w:r>
          </w:p>
        </w:tc>
        <w:tc>
          <w:tcPr>
            <w:tcW w:type="dxa" w:w="4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 traces et écarts reliés</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Technique + observateur</w:t>
            </w:r>
          </w:p>
        </w:tc>
      </w:tr>
      <w:tr>
        <w:trPr>
          <w:cantSplit/>
        </w:trPr>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J5 — Décidé</w:t>
            </w:r>
          </w:p>
        </w:tc>
        <w:tc>
          <w:tcPr>
            <w:tcW w:type="dxa" w:w="4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 / conditionnel / PIVOT / NO-GO signé</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Comité de clôture</w:t>
            </w:r>
          </w:p>
        </w:tc>
      </w:tr>
    </w:tbl>
    <w:p>
      <w:pPr>
        <w:spacing w:after="40"/>
      </w:pPr>
    </w:p>
    <w:p>
      <w:r>
        <w:br w:type="page"/>
      </w:r>
    </w:p>
    <w:p>
      <w:pPr>
        <w:keepNext/>
        <w:spacing w:before="440" w:after="100"/>
      </w:pPr>
      <w:r>
        <w:rPr>
          <w:rFonts w:ascii="Arial" w:hAnsi="Arial" w:eastAsia="Arial"/>
          <w:b/>
          <w:color w:val="C6A15B"/>
          <w:sz w:val="16"/>
        </w:rPr>
        <w:t>CHAPITRE 11</w:t>
      </w:r>
    </w:p>
    <w:p>
      <w:pPr>
        <w:pStyle w:val="Heading1"/>
        <w:pageBreakBefore w:val="0"/>
      </w:pPr>
      <w:r>
        <w:t>Communication, MiCA et propriété</w:t>
      </w:r>
    </w:p>
    <w:p>
      <w:pPr>
        <w:pStyle w:val="Heading2"/>
      </w:pPr>
      <w:r>
        <w:t>Langage autorisé</w:t>
      </w:r>
    </w:p>
    <w:p>
      <w:pPr>
        <w:numPr>
          <w:ilvl w:val="0"/>
          <w:numId w:val="24"/>
        </w:numPr>
        <w:spacing w:after="80" w:line="283" w:lineRule="auto"/>
      </w:pPr>
      <w:r>
        <w:rPr>
          <w:rFonts w:ascii="Arial" w:hAnsi="Arial" w:eastAsia="Arial"/>
          <w:color w:val="162019"/>
          <w:sz w:val="20"/>
        </w:rPr>
        <w:t>« pilote externe borné sur Base Sepolia » ;</w:t>
      </w:r>
    </w:p>
    <w:p>
      <w:pPr>
        <w:numPr>
          <w:ilvl w:val="0"/>
          <w:numId w:val="24"/>
        </w:numPr>
        <w:spacing w:after="80" w:line="283" w:lineRule="auto"/>
      </w:pPr>
      <w:r>
        <w:rPr>
          <w:rFonts w:ascii="Arial" w:hAnsi="Arial" w:eastAsia="Arial"/>
          <w:color w:val="162019"/>
          <w:sz w:val="20"/>
        </w:rPr>
        <w:t>« infrastructure de recherche pour engagements vérifiables » ;</w:t>
      </w:r>
    </w:p>
    <w:p>
      <w:pPr>
        <w:numPr>
          <w:ilvl w:val="0"/>
          <w:numId w:val="24"/>
        </w:numPr>
        <w:spacing w:after="80" w:line="283" w:lineRule="auto"/>
      </w:pPr>
      <w:r>
        <w:rPr>
          <w:rFonts w:ascii="Arial" w:hAnsi="Arial" w:eastAsia="Arial"/>
          <w:color w:val="162019"/>
          <w:sz w:val="20"/>
        </w:rPr>
        <w:t>« résultats limités au périmètre et aux scénarios exécutés » ;</w:t>
      </w:r>
    </w:p>
    <w:p>
      <w:pPr>
        <w:numPr>
          <w:ilvl w:val="0"/>
          <w:numId w:val="24"/>
        </w:numPr>
        <w:spacing w:after="80" w:line="283" w:lineRule="auto"/>
      </w:pPr>
      <w:r>
        <w:rPr>
          <w:rFonts w:ascii="Arial" w:hAnsi="Arial" w:eastAsia="Arial"/>
          <w:color w:val="162019"/>
          <w:sz w:val="20"/>
        </w:rPr>
        <w:t>« Release Candidate validé en interne, audit indépendant non réalisé » ;</w:t>
      </w:r>
    </w:p>
    <w:p>
      <w:pPr>
        <w:numPr>
          <w:ilvl w:val="0"/>
          <w:numId w:val="24"/>
        </w:numPr>
        <w:spacing w:after="80" w:line="283" w:lineRule="auto"/>
      </w:pPr>
      <w:r>
        <w:rPr>
          <w:rFonts w:ascii="Arial" w:hAnsi="Arial" w:eastAsia="Arial"/>
          <w:color w:val="162019"/>
          <w:sz w:val="20"/>
        </w:rPr>
        <w:t>« ALPHA est une hypothèse produit en cours de validation ».</w:t>
      </w:r>
    </w:p>
    <w:p>
      <w:pPr>
        <w:pStyle w:val="Heading2"/>
      </w:pPr>
      <w:r>
        <w:t>Langage interdit</w:t>
      </w:r>
    </w:p>
    <w:p>
      <w:pPr>
        <w:numPr>
          <w:ilvl w:val="0"/>
          <w:numId w:val="25"/>
        </w:numPr>
        <w:spacing w:after="80" w:line="283" w:lineRule="auto"/>
      </w:pPr>
      <w:r>
        <w:rPr>
          <w:rFonts w:ascii="Arial" w:hAnsi="Arial" w:eastAsia="Arial"/>
          <w:color w:val="162019"/>
          <w:sz w:val="20"/>
        </w:rPr>
        <w:t>« conforme MiCA », « approuvé », « certifié » ou « audité » sans preuve correspondante ;</w:t>
      </w:r>
    </w:p>
    <w:p>
      <w:pPr>
        <w:numPr>
          <w:ilvl w:val="0"/>
          <w:numId w:val="25"/>
        </w:numPr>
        <w:spacing w:after="80" w:line="283" w:lineRule="auto"/>
      </w:pPr>
      <w:r>
        <w:rPr>
          <w:rFonts w:ascii="Arial" w:hAnsi="Arial" w:eastAsia="Arial"/>
          <w:color w:val="162019"/>
          <w:sz w:val="20"/>
        </w:rPr>
        <w:t>« garantit la vérité », « élimine la fraude » ou toute promesse absolue ;</w:t>
      </w:r>
    </w:p>
    <w:p>
      <w:pPr>
        <w:numPr>
          <w:ilvl w:val="0"/>
          <w:numId w:val="25"/>
        </w:numPr>
        <w:spacing w:after="80" w:line="283" w:lineRule="auto"/>
      </w:pPr>
      <w:r>
        <w:rPr>
          <w:rFonts w:ascii="Arial" w:hAnsi="Arial" w:eastAsia="Arial"/>
          <w:color w:val="162019"/>
          <w:sz w:val="20"/>
        </w:rPr>
        <w:t>« investissement », « rendement », « revenu passif » ou allégation de prix ;</w:t>
      </w:r>
    </w:p>
    <w:p>
      <w:pPr>
        <w:numPr>
          <w:ilvl w:val="0"/>
          <w:numId w:val="25"/>
        </w:numPr>
        <w:spacing w:after="80" w:line="283" w:lineRule="auto"/>
      </w:pPr>
      <w:r>
        <w:rPr>
          <w:rFonts w:ascii="Arial" w:hAnsi="Arial" w:eastAsia="Arial"/>
          <w:color w:val="162019"/>
          <w:sz w:val="20"/>
        </w:rPr>
        <w:t>« client » ou « partenaire » sans accord explicite de la partie externe ;</w:t>
      </w:r>
    </w:p>
    <w:p>
      <w:pPr>
        <w:numPr>
          <w:ilvl w:val="0"/>
          <w:numId w:val="25"/>
        </w:numPr>
        <w:spacing w:after="80" w:line="283" w:lineRule="auto"/>
      </w:pPr>
      <w:r>
        <w:rPr>
          <w:rFonts w:ascii="Arial" w:hAnsi="Arial" w:eastAsia="Arial"/>
          <w:color w:val="162019"/>
          <w:sz w:val="20"/>
        </w:rPr>
        <w:t>chiffre de performance issu du pilote sans méthodologie, taille d’échantillon et limite.</w:t>
      </w:r>
    </w:p>
    <w:p>
      <w:pPr>
        <w:pStyle w:val="Heading2"/>
      </w:pPr>
      <w:r>
        <w:t>Position VERIDIA</w:t>
      </w:r>
    </w:p>
    <w:p>
      <w:pPr>
        <w:spacing w:after="140" w:line="307" w:lineRule="auto"/>
      </w:pPr>
      <w:r>
        <w:rPr>
          <w:rFonts w:ascii="Arial" w:hAnsi="Arial" w:eastAsia="Arial"/>
          <w:i w:val="0"/>
          <w:color w:val="162019"/>
          <w:sz w:val="20"/>
        </w:rPr>
        <w:t>Le pilote est tokenless. VERIDIA reste une hypothèse d’actif dormante. Une activation ne peut être examinée qu’après démonstration d’une nécessité produit, score de décision d’au moins 6/10, preuves convergentes et avis juridique écrit. La supply hypothétique reste fixe à 1 000 000 000, sans mint, inflation, APY, taxe de transfert, rendement ni partage de revenus.</w:t>
      </w:r>
    </w:p>
    <w:p>
      <w:pPr>
        <w:pStyle w:val="Heading2"/>
      </w:pPr>
      <w:r>
        <w:t>Confidentialité et propriété</w:t>
      </w:r>
    </w:p>
    <w:tbl>
      <w:tblPr>
        <w:tblStyle w:val="TableGrid"/>
        <w:tblW w:type="dxa" w:w="9500"/>
        <w:jc w:val="left"/>
        <w:tblLayout w:type="fixed"/>
        <w:tblLook w:firstColumn="1" w:firstRow="1" w:lastColumn="0" w:lastRow="0" w:noHBand="0" w:noVBand="1" w:val="04A0"/>
        <w:tblInd w:w="120" w:type="dxa"/>
      </w:tblPr>
      <w:tblGrid>
        <w:gridCol w:w="3500"/>
        <w:gridCol w:w="6000"/>
      </w:tblGrid>
      <w:tr>
        <w:trPr>
          <w:tblHeader w:val="true"/>
          <w:cantSplit/>
        </w:trPr>
        <w:tc>
          <w:tcPr>
            <w:tcW w:type="dxa" w:w="3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Sujet</w:t>
            </w:r>
          </w:p>
        </w:tc>
        <w:tc>
          <w:tcPr>
            <w:tcW w:type="dxa" w:w="6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À convenir avant T0</w:t>
            </w:r>
          </w:p>
        </w:tc>
      </w:tr>
      <w:tr>
        <w:trPr>
          <w:cantSplit/>
        </w:trPr>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et logo du participant</w:t>
            </w:r>
          </w:p>
        </w:tc>
        <w:tc>
          <w:tcPr>
            <w:tcW w:type="dxa" w:w="6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Autorisation écrite, supports et durée</w:t>
            </w:r>
          </w:p>
        </w:tc>
      </w:tr>
      <w:tr>
        <w:trPr>
          <w:cantSplit/>
        </w:trPr>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et contenus métier</w:t>
            </w:r>
          </w:p>
        </w:tc>
        <w:tc>
          <w:tcPr>
            <w:tcW w:type="dxa" w:w="6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Propriété, licence limitée et restitution/suppression</w:t>
            </w:r>
          </w:p>
        </w:tc>
      </w:tr>
      <w:tr>
        <w:trPr>
          <w:cantSplit/>
        </w:trPr>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Résultats agrégés</w:t>
            </w:r>
          </w:p>
        </w:tc>
        <w:tc>
          <w:tcPr>
            <w:tcW w:type="dxa" w:w="6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 d’usage Pacturion et niveau d’anonymisation</w:t>
            </w:r>
          </w:p>
        </w:tc>
      </w:tr>
      <w:tr>
        <w:trPr>
          <w:cantSplit/>
        </w:trPr>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Retours et suggestions</w:t>
            </w:r>
          </w:p>
        </w:tc>
        <w:tc>
          <w:tcPr>
            <w:tcW w:type="dxa" w:w="6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Droit d’exploitation pour améliorer ALPHA</w:t>
            </w:r>
          </w:p>
        </w:tc>
      </w:tr>
      <w:tr>
        <w:trPr>
          <w:cantSplit/>
        </w:trPr>
        <w:tc>
          <w:tcPr>
            <w:tcW w:type="dxa" w:w="3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Code, protocoles et modèles</w:t>
            </w:r>
          </w:p>
        </w:tc>
        <w:tc>
          <w:tcPr>
            <w:tcW w:type="dxa" w:w="6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Propriété Pacturion sauf accord contraire</w:t>
            </w:r>
          </w:p>
        </w:tc>
      </w:tr>
      <w:tr>
        <w:trPr>
          <w:cantSplit/>
        </w:trPr>
        <w:tc>
          <w:tcPr>
            <w:tcW w:type="dxa" w:w="3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Publication du cas</w:t>
            </w:r>
          </w:p>
        </w:tc>
        <w:tc>
          <w:tcPr>
            <w:tcW w:type="dxa" w:w="6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Validation préalable du participant</w:t>
            </w:r>
          </w:p>
        </w:tc>
      </w:tr>
    </w:tbl>
    <w:p>
      <w:pPr>
        <w:spacing w:after="40"/>
      </w:pPr>
    </w:p>
    <w:p>
      <w:r>
        <w:br w:type="page"/>
      </w:r>
    </w:p>
    <w:p>
      <w:pPr>
        <w:keepNext/>
        <w:spacing w:before="440" w:after="100"/>
      </w:pPr>
      <w:r>
        <w:rPr>
          <w:rFonts w:ascii="Arial" w:hAnsi="Arial" w:eastAsia="Arial"/>
          <w:b/>
          <w:color w:val="C6A15B"/>
          <w:sz w:val="16"/>
        </w:rPr>
        <w:t>CHAPITRE 12</w:t>
      </w:r>
    </w:p>
    <w:p>
      <w:pPr>
        <w:pStyle w:val="Heading1"/>
        <w:pageBreakBefore w:val="0"/>
      </w:pPr>
      <w:r>
        <w:t>Clôture et décision</w:t>
      </w:r>
    </w:p>
    <w:p>
      <w:pPr>
        <w:pStyle w:val="Heading2"/>
      </w:pPr>
      <w:r>
        <w:t>Dossier de clôture obligatoire</w:t>
      </w:r>
    </w:p>
    <w:p>
      <w:pPr>
        <w:numPr>
          <w:ilvl w:val="0"/>
          <w:numId w:val="26"/>
        </w:numPr>
        <w:spacing w:after="80" w:line="283" w:lineRule="auto"/>
      </w:pPr>
      <w:r>
        <w:rPr>
          <w:rFonts w:ascii="Arial" w:hAnsi="Arial" w:eastAsia="Arial"/>
          <w:color w:val="162019"/>
          <w:sz w:val="20"/>
        </w:rPr>
        <w:t>fiche de cadrage et visas G0 à G5 ;</w:t>
      </w:r>
    </w:p>
    <w:p>
      <w:pPr>
        <w:numPr>
          <w:ilvl w:val="0"/>
          <w:numId w:val="26"/>
        </w:numPr>
        <w:spacing w:after="80" w:line="283" w:lineRule="auto"/>
      </w:pPr>
      <w:r>
        <w:rPr>
          <w:rFonts w:ascii="Arial" w:hAnsi="Arial" w:eastAsia="Arial"/>
          <w:color w:val="162019"/>
          <w:sz w:val="20"/>
        </w:rPr>
        <w:t>versions du protocole, du code, du build et de la configuration ;</w:t>
      </w:r>
    </w:p>
    <w:p>
      <w:pPr>
        <w:numPr>
          <w:ilvl w:val="0"/>
          <w:numId w:val="26"/>
        </w:numPr>
        <w:spacing w:after="80" w:line="283" w:lineRule="auto"/>
      </w:pPr>
      <w:r>
        <w:rPr>
          <w:rFonts w:ascii="Arial" w:hAnsi="Arial" w:eastAsia="Arial"/>
          <w:color w:val="162019"/>
          <w:sz w:val="20"/>
        </w:rPr>
        <w:t>registre des adresses, rôles, transactions, blocs et bytecodes ;</w:t>
      </w:r>
    </w:p>
    <w:p>
      <w:pPr>
        <w:numPr>
          <w:ilvl w:val="0"/>
          <w:numId w:val="26"/>
        </w:numPr>
        <w:spacing w:after="80" w:line="283" w:lineRule="auto"/>
      </w:pPr>
      <w:r>
        <w:rPr>
          <w:rFonts w:ascii="Arial" w:hAnsi="Arial" w:eastAsia="Arial"/>
          <w:color w:val="162019"/>
          <w:sz w:val="20"/>
        </w:rPr>
        <w:t>scénarios, résultats bruts, journaux, captures et exports ;</w:t>
      </w:r>
    </w:p>
    <w:p>
      <w:pPr>
        <w:numPr>
          <w:ilvl w:val="0"/>
          <w:numId w:val="26"/>
        </w:numPr>
        <w:spacing w:after="80" w:line="283" w:lineRule="auto"/>
      </w:pPr>
      <w:r>
        <w:rPr>
          <w:rFonts w:ascii="Arial" w:hAnsi="Arial" w:eastAsia="Arial"/>
          <w:color w:val="162019"/>
          <w:sz w:val="20"/>
        </w:rPr>
        <w:t>incidents, écarts, actions correctives et rejeux ;</w:t>
      </w:r>
    </w:p>
    <w:p>
      <w:pPr>
        <w:numPr>
          <w:ilvl w:val="0"/>
          <w:numId w:val="26"/>
        </w:numPr>
        <w:spacing w:after="80" w:line="283" w:lineRule="auto"/>
      </w:pPr>
      <w:r>
        <w:rPr>
          <w:rFonts w:ascii="Arial" w:hAnsi="Arial" w:eastAsia="Arial"/>
          <w:color w:val="162019"/>
          <w:sz w:val="20"/>
        </w:rPr>
        <w:t>mesures produit, verbatims autorisés et limites méthodologiques ;</w:t>
      </w:r>
    </w:p>
    <w:p>
      <w:pPr>
        <w:numPr>
          <w:ilvl w:val="0"/>
          <w:numId w:val="26"/>
        </w:numPr>
        <w:spacing w:after="80" w:line="283" w:lineRule="auto"/>
      </w:pPr>
      <w:r>
        <w:rPr>
          <w:rFonts w:ascii="Arial" w:hAnsi="Arial" w:eastAsia="Arial"/>
          <w:color w:val="162019"/>
          <w:sz w:val="20"/>
        </w:rPr>
        <w:t>compte rendu de restitution et décision signée ;</w:t>
      </w:r>
    </w:p>
    <w:p>
      <w:pPr>
        <w:numPr>
          <w:ilvl w:val="0"/>
          <w:numId w:val="26"/>
        </w:numPr>
        <w:spacing w:after="80" w:line="283" w:lineRule="auto"/>
      </w:pPr>
      <w:r>
        <w:rPr>
          <w:rFonts w:ascii="Arial" w:hAnsi="Arial" w:eastAsia="Arial"/>
          <w:color w:val="162019"/>
          <w:sz w:val="20"/>
        </w:rPr>
        <w:t>preuve de révocation des accès, archivage et suppression prévue.</w:t>
      </w:r>
    </w:p>
    <w:p>
      <w:pPr>
        <w:pStyle w:val="Heading2"/>
      </w:pPr>
      <w:r>
        <w:t>Matrice de décision</w:t>
      </w:r>
    </w:p>
    <w:tbl>
      <w:tblPr>
        <w:tblStyle w:val="TableGrid"/>
        <w:tblW w:type="dxa" w:w="9500"/>
        <w:jc w:val="left"/>
        <w:tblLayout w:type="fixed"/>
        <w:tblLook w:firstColumn="1" w:firstRow="1" w:lastColumn="0" w:lastRow="0" w:noHBand="0" w:noVBand="1" w:val="04A0"/>
        <w:tblInd w:w="120" w:type="dxa"/>
      </w:tblPr>
      <w:tblGrid>
        <w:gridCol w:w="3900"/>
        <w:gridCol w:w="1700"/>
        <w:gridCol w:w="3900"/>
      </w:tblGrid>
      <w:tr>
        <w:trPr>
          <w:tblHeader w:val="true"/>
          <w:cantSplit/>
        </w:trPr>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Axe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Score 0–2</w:t>
            </w:r>
          </w:p>
        </w:tc>
        <w:tc>
          <w:tcPr>
            <w:tcW w:type="dxa" w:w="3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Justification / preuve</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Problème réel et prioritaire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NOTER]</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Adéquation du workflow ALPHA</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NOTER]</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Qualité et disponibilité des preuves</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NOTER]</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Contrôle, sécurité et exploitabilité</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NOTER]</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Valeur et volonté de poursuivre</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NOTER]</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bl>
    <w:p>
      <w:pPr>
        <w:spacing w:after="40"/>
      </w:pPr>
    </w:p>
    <w:p>
      <w:pPr>
        <w:spacing w:after="140" w:line="307" w:lineRule="auto"/>
      </w:pPr>
      <w:r>
        <w:rPr>
          <w:rFonts w:ascii="Arial" w:hAnsi="Arial" w:eastAsia="Arial"/>
          <w:i w:val="0"/>
          <w:color w:val="162019"/>
          <w:sz w:val="20"/>
        </w:rPr>
        <w:t>Score indicatif sur 10 : [À CALCULER]. Ce score ne remplace pas les critères critiques. Un incident grave, une action indue acceptée ou une rupture du périmètre impose un NO-GO ou une suspension, même avec un score élevé.</w:t>
      </w:r>
    </w:p>
    <w:p>
      <w:pPr>
        <w:pStyle w:val="Heading2"/>
      </w:pPr>
      <w:r>
        <w:t>Sorties</w:t>
      </w:r>
    </w:p>
    <w:tbl>
      <w:tblPr>
        <w:tblStyle w:val="TableGrid"/>
        <w:tblW w:type="dxa" w:w="9500"/>
        <w:jc w:val="left"/>
        <w:tblLayout w:type="fixed"/>
        <w:tblLook w:firstColumn="1" w:firstRow="1" w:lastColumn="0" w:lastRow="0" w:noHBand="0" w:noVBand="1" w:val="04A0"/>
        <w:tblInd w:w="120" w:type="dxa"/>
      </w:tblPr>
      <w:tblGrid>
        <w:gridCol w:w="2300"/>
        <w:gridCol w:w="4700"/>
        <w:gridCol w:w="25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c>
          <w:tcPr>
            <w:tcW w:type="dxa" w:w="4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Conditions</w:t>
            </w:r>
          </w:p>
        </w:tc>
        <w:tc>
          <w:tcPr>
            <w:tcW w:type="dxa" w:w="25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Action dans les 10 jours ouvrés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Critiques PASS, valeur démontrée, score ≥ 8/10</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Plan bêta tokenless + préparation audit</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 CONDITIONNEL</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Critiques PASS, score 6–7/10, corrections bornées</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Plan correctif et rejeu ciblé</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PIVOT</w:t>
            </w:r>
          </w:p>
        </w:tc>
        <w:tc>
          <w:tcPr>
            <w:tcW w:type="dxa" w:w="4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Valeur du problème mais score produit &lt; 6/10</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Nouvelle hypothèse et nouvelle spécification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NO-GO</w:t>
            </w:r>
          </w:p>
        </w:tc>
        <w:tc>
          <w:tcPr>
            <w:tcW w:type="dxa" w:w="4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Critique KO, risque non maîtrisé ou absence de valeur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Clôture, archivage et leçons apprises</w:t>
            </w:r>
          </w:p>
        </w:tc>
      </w:tr>
    </w:tbl>
    <w:p>
      <w:pPr>
        <w:spacing w:after="40"/>
      </w:pPr>
    </w:p>
    <w:p>
      <w:r>
        <w:br w:type="page"/>
      </w:r>
    </w:p>
    <w:p>
      <w:pPr>
        <w:keepNext/>
        <w:spacing w:before="440" w:after="100"/>
      </w:pPr>
      <w:r>
        <w:rPr>
          <w:rFonts w:ascii="Arial" w:hAnsi="Arial" w:eastAsia="Arial"/>
          <w:b/>
          <w:color w:val="C6A15B"/>
          <w:sz w:val="16"/>
        </w:rPr>
        <w:t>CHAPITRE A</w:t>
      </w:r>
    </w:p>
    <w:p>
      <w:pPr>
        <w:pStyle w:val="Heading1"/>
        <w:pageBreakBefore w:val="0"/>
      </w:pPr>
      <w:r>
        <w:t>Fiche de cadrage du participant</w:t>
      </w:r>
    </w:p>
    <w:tbl>
      <w:tblPr>
        <w:tblStyle w:val="TableGrid"/>
        <w:tblW w:type="dxa" w:w="9500"/>
        <w:jc w:val="left"/>
        <w:tblLayout w:type="fixed"/>
        <w:tblLook w:firstColumn="1" w:firstRow="1" w:lastColumn="0" w:lastRow="0" w:noHBand="0" w:noVBand="1" w:val="04A0"/>
        <w:tblInd w:w="120" w:type="dxa"/>
      </w:tblPr>
      <w:tblGrid>
        <w:gridCol w:w="3000"/>
        <w:gridCol w:w="6500"/>
      </w:tblGrid>
      <w:tr>
        <w:trPr>
          <w:tblHeader w:val="true"/>
          <w:cantSplit/>
        </w:trPr>
        <w:tc>
          <w:tcPr>
            <w:tcW w:type="dxa" w:w="3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Réponse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Organisation / entité</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Décideur métier</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FONCTION, CONTACT]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Opérateur(s)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OU IDENTIFIANT, RÔLE]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Problème observé</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[DESCRIPTION FACTUELLE]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Workflow actuel</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[ÉTAPES, OUTILS, VOLUME, FRÉQUENCE]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Impact actuel</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[TEMPS, ERREURS, LITIGES, RISQUE OU COÛT]</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Cas retenus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[IDENTIFIANTS ET MOTIFS]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autorisées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[CATÉGORIES, SOURCE, DURÉE]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interdites</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[LISTE]</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Critère avant/après</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[MESURE ET CIBLE GELÉE]</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Budget du pilote</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[MONTANT OU « NON FACTURÉ »]</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Calendrier</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[DÉBUT, FIN, DISPONIBILITÉS]</w:t>
            </w:r>
          </w:p>
        </w:tc>
      </w:tr>
      <w:tr>
        <w:trPr>
          <w:cantSplit/>
        </w:trPr>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Confidentialité</w:t>
            </w:r>
          </w:p>
        </w:tc>
        <w:tc>
          <w:tcPr>
            <w:tcW w:type="dxa" w:w="6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[ACCORD / RESTRICTIONS]</w:t>
            </w:r>
          </w:p>
        </w:tc>
      </w:tr>
      <w:tr>
        <w:trPr>
          <w:cantSplit/>
        </w:trPr>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Contact incident</w:t>
            </w:r>
          </w:p>
        </w:tc>
        <w:tc>
          <w:tcPr>
            <w:tcW w:type="dxa" w:w="6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[NOM, CANAL, DÉLAI]</w:t>
            </w:r>
          </w:p>
        </w:tc>
      </w:tr>
    </w:tbl>
    <w:p>
      <w:pPr>
        <w:spacing w:after="40"/>
      </w:pPr>
    </w:p>
    <w:p>
      <w:pPr>
        <w:pStyle w:val="Heading2"/>
      </w:pPr>
      <w:r>
        <w:t>Confirmation du participant</w:t>
      </w:r>
    </w:p>
    <w:p>
      <w:pPr>
        <w:spacing w:after="140" w:line="307" w:lineRule="auto"/>
      </w:pPr>
      <w:r>
        <w:rPr>
          <w:rFonts w:ascii="Arial" w:hAnsi="Arial" w:eastAsia="Arial"/>
          <w:i w:val="0"/>
          <w:color w:val="162019"/>
          <w:sz w:val="20"/>
        </w:rPr>
        <w:t>Le participant confirme avoir compris que le pilote utilise un environnement de test, n’engage aucun fonds réel, ne fournit aucun service financier et ne constitue ni un audit indépendant ni une certification réglementaire.</w:t>
      </w:r>
    </w:p>
    <w:tbl>
      <w:tblPr>
        <w:tblStyle w:val="TableGrid"/>
        <w:tblW w:type="dxa" w:w="9500"/>
        <w:jc w:val="left"/>
        <w:tblLayout w:type="fixed"/>
        <w:tblLook w:firstColumn="1" w:firstRow="1" w:lastColumn="0" w:lastRow="0" w:noHBand="0" w:noVBand="1" w:val="04A0"/>
        <w:tblInd w:w="120" w:type="dxa"/>
      </w:tblPr>
      <w:tblGrid>
        <w:gridCol w:w="2500"/>
        <w:gridCol w:w="2500"/>
        <w:gridCol w:w="2000"/>
        <w:gridCol w:w="25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Fonction</w:t>
            </w:r>
          </w:p>
        </w:tc>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Signature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r>
        <w:br w:type="page"/>
      </w:r>
    </w:p>
    <w:p>
      <w:pPr>
        <w:keepNext/>
        <w:spacing w:before="440" w:after="100"/>
      </w:pPr>
      <w:r>
        <w:rPr>
          <w:rFonts w:ascii="Arial" w:hAnsi="Arial" w:eastAsia="Arial"/>
          <w:b/>
          <w:color w:val="C6A15B"/>
          <w:sz w:val="16"/>
        </w:rPr>
        <w:t>CHAPITRE B</w:t>
      </w:r>
    </w:p>
    <w:p>
      <w:pPr>
        <w:pStyle w:val="Heading1"/>
        <w:pageBreakBefore w:val="0"/>
      </w:pPr>
      <w:r>
        <w:t>Journal de session</w:t>
      </w:r>
    </w:p>
    <w:tbl>
      <w:tblPr>
        <w:tblStyle w:val="TableGrid"/>
        <w:tblW w:type="dxa" w:w="9500"/>
        <w:jc w:val="left"/>
        <w:tblLayout w:type="fixed"/>
        <w:tblLook w:firstColumn="1" w:firstRow="1" w:lastColumn="0" w:lastRow="0" w:noHBand="0" w:noVBand="1" w:val="04A0"/>
        <w:tblInd w:w="120" w:type="dxa"/>
      </w:tblPr>
      <w:tblGrid>
        <w:gridCol w:w="3600"/>
        <w:gridCol w:w="5900"/>
      </w:tblGrid>
      <w:tr>
        <w:trPr>
          <w:tblHeader w:val="true"/>
          <w:cantSplit/>
        </w:trPr>
        <w:tc>
          <w:tcPr>
            <w:tcW w:type="dxa" w:w="36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5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Pilote / session / scénario</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[PX-… / SESSION-… / S…]</w:t>
            </w:r>
          </w:p>
        </w:tc>
      </w:tr>
      <w:tr>
        <w:trPr>
          <w:cantSplit/>
        </w:trPr>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Date et horaires</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 code / build / configuration</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Réseau / chain ID</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Base Sepolia / 84532</w:t>
            </w:r>
          </w:p>
        </w:tc>
      </w:tr>
      <w:tr>
        <w:trPr>
          <w:cantSplit/>
        </w:trPr>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Participants et rôles</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Préconditions vérifiées</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[OUI/NON + PREUVE]</w:t>
            </w:r>
          </w:p>
        </w:tc>
      </w:tr>
      <w:tr>
        <w:trPr>
          <w:cantSplit/>
        </w:trPr>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Assistance maximale</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A0 / A1 / A2 / A3</w:t>
            </w:r>
          </w:p>
        </w:tc>
      </w:tr>
      <w:tr>
        <w:trPr>
          <w:cantSplit/>
        </w:trPr>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Résultat</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FAIL / BLOQUÉ / NON EXÉCUTÉ</w:t>
            </w:r>
          </w:p>
        </w:tc>
      </w:tr>
      <w:tr>
        <w:trPr>
          <w:cantSplit/>
        </w:trPr>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Transactions / blocs / preuves</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[IDENTIFIANTS]</w:t>
            </w:r>
          </w:p>
        </w:tc>
      </w:tr>
      <w:tr>
        <w:trPr>
          <w:cantSplit/>
        </w:trPr>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Incident ou écart</w:t>
            </w:r>
          </w:p>
        </w:tc>
        <w:tc>
          <w:tcPr>
            <w:tcW w:type="dxa" w:w="5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[ID OU « AUCUN »]</w:t>
            </w:r>
          </w:p>
        </w:tc>
      </w:tr>
      <w:tr>
        <w:trPr>
          <w:cantSplit/>
        </w:trPr>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Décision de rejeu</w:t>
            </w:r>
          </w:p>
        </w:tc>
        <w:tc>
          <w:tcPr>
            <w:tcW w:type="dxa" w:w="5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[OUI/NON + MOTIF]</w:t>
            </w:r>
          </w:p>
        </w:tc>
      </w:tr>
    </w:tbl>
    <w:p>
      <w:pPr>
        <w:spacing w:after="40"/>
      </w:pPr>
    </w:p>
    <w:p>
      <w:pPr>
        <w:pStyle w:val="Heading2"/>
      </w:pPr>
      <w:r>
        <w:t>Observations factuelles</w:t>
      </w:r>
    </w:p>
    <w:tbl>
      <w:tblPr>
        <w:tblStyle w:val="TableGrid"/>
        <w:tblW w:type="dxa" w:w="9500"/>
        <w:jc w:val="left"/>
        <w:tblLayout w:type="fixed"/>
        <w:tblLook w:firstColumn="1" w:firstRow="1" w:lastColumn="0" w:lastRow="0" w:noHBand="0" w:noVBand="1" w:val="04A0"/>
        <w:tblInd w:w="120" w:type="dxa"/>
      </w:tblPr>
      <w:tblGrid>
        <w:gridCol w:w="1800"/>
        <w:gridCol w:w="3900"/>
        <w:gridCol w:w="38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Horodatage</w:t>
            </w:r>
          </w:p>
        </w:tc>
        <w:tc>
          <w:tcPr>
            <w:tcW w:type="dxa" w:w="3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Action observée</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 / preuve</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[HH:MM]</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[HH:MM]</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[HH:MM]</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[HH:MM]</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bl>
    <w:p>
      <w:pPr>
        <w:spacing w:after="40"/>
      </w:pPr>
    </w:p>
    <w:p>
      <w:pPr>
        <w:pStyle w:val="Heading2"/>
      </w:pPr>
      <w:r>
        <w:t>Retour opérateur</w:t>
      </w:r>
    </w:p>
    <w:p>
      <w:pPr>
        <w:spacing w:after="140" w:line="307" w:lineRule="auto"/>
      </w:pPr>
      <w:r>
        <w:rPr>
          <w:rFonts w:ascii="Arial" w:hAnsi="Arial" w:eastAsia="Arial"/>
          <w:i w:val="0"/>
          <w:color w:val="162019"/>
          <w:sz w:val="20"/>
        </w:rPr>
        <w:t>Ce qui était clair : [À RENSEIGNER]. Ce qui était ambigu : [À RENSEIGNER]. Étape la plus coûteuse : [À RENSEIGNER]. Confiance dans le résultat (1–5) : [ ]. Réutilisation souhaitée : [OUI / NON / SOUS CONDITIONS].</w:t>
      </w:r>
    </w:p>
    <w:p>
      <w:r>
        <w:br w:type="page"/>
      </w:r>
    </w:p>
    <w:p>
      <w:pPr>
        <w:keepNext/>
        <w:spacing w:before="440" w:after="100"/>
      </w:pPr>
      <w:r>
        <w:rPr>
          <w:rFonts w:ascii="Arial" w:hAnsi="Arial" w:eastAsia="Arial"/>
          <w:b/>
          <w:color w:val="C6A15B"/>
          <w:sz w:val="16"/>
        </w:rPr>
        <w:t>CHAPITRE C</w:t>
      </w:r>
    </w:p>
    <w:p>
      <w:pPr>
        <w:pStyle w:val="Heading1"/>
        <w:pageBreakBefore w:val="0"/>
      </w:pPr>
      <w:r>
        <w:t>Visa de lancement et décision finale</w:t>
      </w:r>
    </w:p>
    <w:p>
      <w:pPr>
        <w:pStyle w:val="Heading2"/>
      </w:pPr>
      <w:r>
        <w:t>Visa de lancement</w:t>
      </w:r>
    </w:p>
    <w:tbl>
      <w:tblPr>
        <w:tblStyle w:val="TableGrid"/>
        <w:tblW w:type="dxa" w:w="9500"/>
        <w:jc w:val="left"/>
        <w:tblLayout w:type="fixed"/>
        <w:tblLook w:firstColumn="1" w:firstRow="1" w:lastColumn="0" w:lastRow="0" w:noHBand="0" w:noVBand="1" w:val="04A0"/>
        <w:tblInd w:w="120" w:type="dxa"/>
      </w:tblPr>
      <w:tblGrid>
        <w:gridCol w:w="2800"/>
        <w:gridCol w:w="1900"/>
        <w:gridCol w:w="3000"/>
        <w:gridCol w:w="18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w:t>
            </w:r>
          </w:p>
        </w:tc>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3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Preuve / référence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Visa</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G0 à G5</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Périmètre tokenless/testnet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 et confidentialité</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Sécurité et arrêt</w:t>
            </w:r>
          </w:p>
        </w:tc>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3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Scénarios et seuils gelés</w:t>
            </w:r>
          </w:p>
        </w:tc>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NO-GO</w:t>
            </w:r>
          </w:p>
        </w:tc>
        <w:tc>
          <w:tcPr>
            <w:tcW w:type="dxa" w:w="3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bl>
    <w:p>
      <w:pPr>
        <w:spacing w:after="40"/>
      </w:pPr>
    </w:p>
    <w:p>
      <w:pPr>
        <w:pStyle w:val="Heading2"/>
      </w:pPr>
      <w:r>
        <w:t>Décision finale</w:t>
      </w:r>
    </w:p>
    <w:tbl>
      <w:tblPr>
        <w:tblStyle w:val="TableGrid"/>
        <w:tblW w:type="dxa" w:w="9500"/>
        <w:jc w:val="left"/>
        <w:tblLayout w:type="fixed"/>
        <w:tblLook w:firstColumn="1" w:firstRow="1" w:lastColumn="0" w:lastRow="0" w:noHBand="0" w:noVBand="1" w:val="04A0"/>
        <w:tblInd w:w="120" w:type="dxa"/>
      </w:tblPr>
      <w:tblGrid>
        <w:gridCol w:w="3100"/>
        <w:gridCol w:w="6400"/>
      </w:tblGrid>
      <w:tr>
        <w:trPr>
          <w:tblHeader w:val="true"/>
          <w:cantSplit/>
        </w:trPr>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Résultat</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GO / GO CONDITIONNEL / PIVOT / NO-GO</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Score produit</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[0–10]</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Critères critiques</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 KO + DÉTAIL]</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Écarts acceptés</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[LISTE OU AUCUN]</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Actions obligatoires</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ÉCHÉANCE, PREUVE]</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Prochain jalon autorisé</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[BÊTA TOKENLESS / REJEU / NOUVELLE SPEC / CLÔTURE]</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PRINCIPE DE VÉRITÉ</w:t>
        <w:br/>
      </w:r>
      <w:r>
        <w:rPr>
          <w:rFonts w:ascii="Arial" w:hAnsi="Arial" w:eastAsia="Arial"/>
          <w:b w:val="0"/>
          <w:color w:val="162019"/>
          <w:sz w:val="20"/>
        </w:rPr>
        <w:t>Le rapport final doit restituer les résultats observés, y compris s’ils invalident ALPHA. Un pilote n’a de valeur que s’il peut produire un NO-GO crédible.</w:t>
      </w:r>
    </w:p>
    <w:p>
      <w:pPr>
        <w:pStyle w:val="Heading2"/>
      </w:pPr>
      <w:r>
        <w:t>Approbations</w:t>
      </w:r>
    </w:p>
    <w:tbl>
      <w:tblPr>
        <w:tblStyle w:val="TableGrid"/>
        <w:tblW w:type="dxa" w:w="9500"/>
        <w:jc w:val="left"/>
        <w:tblLayout w:type="fixed"/>
        <w:tblLook w:firstColumn="1" w:firstRow="1" w:lastColumn="0" w:lastRow="0" w:noHBand="0" w:noVBand="1" w:val="04A0"/>
        <w:tblInd w:w="120" w:type="dxa"/>
      </w:tblPr>
      <w:tblGrid>
        <w:gridCol w:w="2500"/>
        <w:gridCol w:w="2300"/>
        <w:gridCol w:w="2900"/>
        <w:gridCol w:w="18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 / date</w:t>
            </w:r>
          </w:p>
        </w:tc>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Signature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Pacturion</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technique</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Responsable sécurité</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Décideur participant</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RENSEIGNER]</w:t>
            </w:r>
          </w:p>
        </w:tc>
      </w:tr>
    </w:tbl>
    <w:p>
      <w:pPr>
        <w:spacing w:after="40"/>
      </w:pP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PILOTE EXTERNE V1.0</w:t>
    </w:r>
    <w:r>
      <w:rPr>
        <w:rFonts w:ascii="Arial" w:hAnsi="Arial" w:eastAsia="Arial"/>
        <w:b/>
        <w:color w:val="C6A15B"/>
        <w:sz w:val="14"/>
      </w:rPr>
      <w:tab/>
      <w:t xml:space="preserve">DOCUMENT À APPROUVER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PROTOCOLE PILOTE EXTERNE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bullet"/>
      <w:lvlText w:val="•"/>
      <w:suff w:val="tab"/>
      <w:pPr>
        <w:tabs>
          <w:tab w:val="num" w:pos="540"/>
        </w:tabs>
        <w:ind w:left="540" w:hanging="270"/>
      </w:pPr>
      <w:rPr>
        <w:color w:val="C6A15B"/>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decimal"/>
      <w:lvlText w:val="%1."/>
      <w:suff w:val="tab"/>
      <w:pPr>
        <w:tabs>
          <w:tab w:val="num" w:pos="540"/>
        </w:tabs>
        <w:ind w:left="540" w:hanging="270"/>
      </w:pPr>
      <w:rPr>
        <w:color w:val="155A3E"/>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abstractNum w:abstractNumId="21">
    <w:multiLevelType w:val="singleLevel"/>
    <w:lvl w:ilvl="0">
      <w:start w:val="1"/>
      <w:numFmt w:val="bullet"/>
      <w:lvlText w:val="•"/>
      <w:suff w:val="tab"/>
      <w:pPr>
        <w:tabs>
          <w:tab w:val="num" w:pos="540"/>
        </w:tabs>
        <w:ind w:left="540" w:hanging="270"/>
      </w:pPr>
      <w:rPr>
        <w:color w:val="C6A15B"/>
      </w:rPr>
    </w:lvl>
  </w:abstractNum>
  <w:num w:numId="22">
    <w:abstractNumId w:val="21"/>
  </w:num>
  <w:abstractNum w:abstractNumId="22">
    <w:multiLevelType w:val="singleLevel"/>
    <w:lvl w:ilvl="0">
      <w:start w:val="1"/>
      <w:numFmt w:val="bullet"/>
      <w:lvlText w:val="•"/>
      <w:suff w:val="tab"/>
      <w:pPr>
        <w:tabs>
          <w:tab w:val="num" w:pos="540"/>
        </w:tabs>
        <w:ind w:left="540" w:hanging="270"/>
      </w:pPr>
      <w:rPr>
        <w:color w:val="C6A15B"/>
      </w:rPr>
    </w:lvl>
  </w:abstractNum>
  <w:num w:numId="23">
    <w:abstractNumId w:val="22"/>
  </w:num>
  <w:abstractNum w:abstractNumId="23">
    <w:multiLevelType w:val="singleLevel"/>
    <w:lvl w:ilvl="0">
      <w:start w:val="1"/>
      <w:numFmt w:val="bullet"/>
      <w:lvlText w:val="•"/>
      <w:suff w:val="tab"/>
      <w:pPr>
        <w:tabs>
          <w:tab w:val="num" w:pos="540"/>
        </w:tabs>
        <w:ind w:left="540" w:hanging="270"/>
      </w:pPr>
      <w:rPr>
        <w:color w:val="C6A15B"/>
      </w:rPr>
    </w:lvl>
  </w:abstractNum>
  <w:num w:numId="24">
    <w:abstractNumId w:val="23"/>
  </w:num>
  <w:abstractNum w:abstractNumId="24">
    <w:multiLevelType w:val="singleLevel"/>
    <w:lvl w:ilvl="0">
      <w:start w:val="1"/>
      <w:numFmt w:val="bullet"/>
      <w:lvlText w:val="•"/>
      <w:suff w:val="tab"/>
      <w:pPr>
        <w:tabs>
          <w:tab w:val="num" w:pos="540"/>
        </w:tabs>
        <w:ind w:left="540" w:hanging="270"/>
      </w:pPr>
      <w:rPr>
        <w:color w:val="C6A15B"/>
      </w:rPr>
    </w:lvl>
  </w:abstractNum>
  <w:num w:numId="25">
    <w:abstractNumId w:val="24"/>
  </w:num>
  <w:abstractNum w:abstractNumId="25">
    <w:multiLevelType w:val="singleLevel"/>
    <w:lvl w:ilvl="0">
      <w:start w:val="1"/>
      <w:numFmt w:val="bullet"/>
      <w:lvlText w:val="•"/>
      <w:suff w:val="tab"/>
      <w:pPr>
        <w:tabs>
          <w:tab w:val="num" w:pos="540"/>
        </w:tabs>
        <w:ind w:left="540" w:hanging="270"/>
      </w:pPr>
      <w:rPr>
        <w:color w:val="C6A15B"/>
      </w:rPr>
    </w:lvl>
  </w:abstract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Protocole de pilote externe V1.0</dc:title>
  <dc:subject>Validation externe bornée d’ALPHA sur VERIDIA Protocol</dc:subject>
  <dc:creator>Pacturion</dc:creator>
  <cp:keywords>Pacturion, ALPHA, VERIDIA, pilote externe, Base Sepolia, validation, testnet, MiCA</cp:keywords>
  <dc:description>Document de travail contrôlé — ne constitue pas une offre au public.</dc:description>
  <cp:lastModifiedBy/>
  <cp:revision>1</cp:revision>
  <dcterms:created xsi:type="dcterms:W3CDTF">2013-12-23T23:15:00Z</dcterms:created>
  <dcterms:modified xsi:type="dcterms:W3CDTF">2013-12-23T23:15:00Z</dcterms:modified>
  <cp:category/>
</cp:coreProperties>
</file>