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960"/>
        <w:jc w:val="center"/>
      </w:pPr>
      <w:r>
        <w:drawing>
          <wp:inline xmlns:a="http://schemas.openxmlformats.org/drawingml/2006/main" xmlns:pic="http://schemas.openxmlformats.org/drawingml/2006/picture">
            <wp:extent cx="6120000" cy="1036190"/>
            <wp:docPr id="1" name="Picture 1" descr="Bannière Pacturion avec logo doré sur fond sombre et ligne d’horizon lumineuse" title="Pacturion"/>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6120000" cy="1036190"/>
                    </a:xfrm>
                    <a:prstGeom prst="rect"/>
                  </pic:spPr>
                </pic:pic>
              </a:graphicData>
            </a:graphic>
          </wp:inline>
        </w:drawing>
      </w:r>
    </w:p>
    <w:p>
      <w:pPr>
        <w:spacing w:after="80"/>
      </w:pPr>
      <w:r>
        <w:rPr>
          <w:rFonts w:ascii="Arial" w:hAnsi="Arial" w:eastAsia="Arial"/>
          <w:b/>
          <w:color w:val="06110B"/>
          <w:sz w:val="58"/>
        </w:rPr>
        <w:t>RAPPORT PHASE 3.E</w:t>
      </w:r>
    </w:p>
    <w:p>
      <w:pPr>
        <w:spacing w:after="160"/>
      </w:pPr>
      <w:r>
        <w:rPr>
          <w:rFonts w:ascii="Arial" w:hAnsi="Arial" w:eastAsia="Arial"/>
          <w:color w:val="155A3E"/>
          <w:sz w:val="34"/>
        </w:rPr>
        <w:t>Human Pilot — version de consolidation V1.0</w:t>
      </w:r>
    </w:p>
    <w:p>
      <w:pPr>
        <w:spacing w:after="400"/>
      </w:pPr>
      <w:r>
        <w:rPr>
          <w:rFonts w:ascii="Arial" w:hAnsi="Arial" w:eastAsia="Arial"/>
          <w:color w:val="162019"/>
          <w:sz w:val="23"/>
        </w:rPr>
        <w:t>Formalisation du jalon technique interne déclaré PASS.</w:t>
      </w:r>
    </w:p>
    <w:tbl>
      <w:tblPr>
        <w:tblStyle w:val="TableGrid"/>
        <w:tblW w:type="dxa" w:w="9500"/>
        <w:jc w:val="left"/>
        <w:tblLayout w:type="fixed"/>
        <w:tblLook w:firstColumn="1" w:firstRow="1" w:lastColumn="0" w:lastRow="0" w:noHBand="0" w:noVBand="1" w:val="04A0"/>
        <w:tblInd w:w="120" w:type="dxa"/>
      </w:tblPr>
      <w:tblGrid>
        <w:gridCol w:w="1300"/>
        <w:gridCol w:w="2100"/>
        <w:gridCol w:w="3400"/>
        <w:gridCol w:w="2700"/>
      </w:tblGrid>
      <w:tr>
        <w:trPr>
          <w:tblHeader w:val="true"/>
          <w:cantSplit/>
        </w:trPr>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VERSION</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3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c>
          <w:tcPr>
            <w:tcW w:type="dxa" w:w="2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PROPRIÉTAIRE</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1.0</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8 septembre 2026</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DRAFT CONTRÔLÉ</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Pacturion</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CONCLUSION DE COUVERTURE</w:t>
        <w:br/>
      </w:r>
      <w:r>
        <w:rPr>
          <w:rFonts w:ascii="Arial" w:hAnsi="Arial" w:eastAsia="Arial"/>
          <w:b w:val="0"/>
          <w:color w:val="162019"/>
          <w:sz w:val="20"/>
        </w:rPr>
        <w:t>Le Human Pilot Phase 3.E est déclaré PASS par le porteur du projet. Le corpus disponible ne contient pas encore le protocole exécuté, les participants, les résultats bruts, le commit de référence ni le visa signé. Ce document formalise la structure de preuve ; il ne transforme pas une déclaration en preuve indépendante.</w:t>
      </w:r>
    </w:p>
    <w:p>
      <w:pPr>
        <w:spacing w:before="480"/>
      </w:pPr>
      <w:r>
        <w:rPr>
          <w:rFonts w:ascii="Arial" w:hAnsi="Arial" w:eastAsia="Arial"/>
          <w:b/>
          <w:color w:val="C6A15B"/>
          <w:sz w:val="22"/>
        </w:rPr>
        <w:t>PASS déclaré. Preuves à réconcilier. Portée strictement interne.</w:t>
      </w:r>
    </w:p>
    <w:p>
      <w:r>
        <w:br w:type="page"/>
      </w:r>
    </w:p>
    <w:p>
      <w:pPr>
        <w:keepNext/>
        <w:spacing w:before="440" w:after="100"/>
      </w:pPr>
      <w:r>
        <w:rPr>
          <w:rFonts w:ascii="Arial" w:hAnsi="Arial" w:eastAsia="Arial"/>
          <w:b/>
          <w:color w:val="C6A15B"/>
          <w:sz w:val="16"/>
        </w:rPr>
        <w:t>CHAPITRE 00</w:t>
      </w:r>
    </w:p>
    <w:p>
      <w:pPr>
        <w:pStyle w:val="Heading1"/>
        <w:pageBreakBefore w:val="0"/>
      </w:pPr>
      <w:r>
        <w:t>Contrôle du document</w:t>
      </w:r>
    </w:p>
    <w:tbl>
      <w:tblPr>
        <w:tblStyle w:val="TableGrid"/>
        <w:tblW w:type="dxa" w:w="9500"/>
        <w:jc w:val="left"/>
        <w:tblLayout w:type="fixed"/>
        <w:tblLook w:firstColumn="1" w:firstRow="1" w:lastColumn="0" w:lastRow="0" w:noHBand="0" w:noVBand="1" w:val="04A0"/>
        <w:tblInd w:w="120" w:type="dxa"/>
      </w:tblPr>
      <w:tblGrid>
        <w:gridCol w:w="2500"/>
        <w:gridCol w:w="7000"/>
      </w:tblGrid>
      <w:tr>
        <w:trPr>
          <w:tblHeader w:val="true"/>
          <w:cantSplit/>
        </w:trPr>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7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Entité</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Pacturion</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Infrastructure</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VERIDIA Protocol</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Produit concerné</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ALPHA — hypothèse produit interne</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Jalon</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Phase 3.E Human Pilot</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Nature</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Validation technique assistée par des opérateurs humains internes</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Résultat porté</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PASS déclaré par le porteur du projet</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Niveau de preuve</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Non corroboré dans le corpus documentaire disponible</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Audit indépendant</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Non réalisé</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Pilote client externe</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Non réalisé ou non prouvé</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Effet d’autorisation</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Aucun : ni mainnet, ni diffusion publique, ni fonction économique</w:t>
            </w:r>
          </w:p>
        </w:tc>
      </w:tr>
    </w:tbl>
    <w:p>
      <w:pPr>
        <w:spacing w:after="40"/>
      </w:pPr>
    </w:p>
    <w:p>
      <w:pPr>
        <w:spacing w:before="100" w:after="180" w:line="283" w:lineRule="auto"/>
        <w:ind w:left="227" w:right="170"/>
        <w:shd w:fill="EDF3EF"/>
        <w:pBdr>
          <w:left w:val="single" w:sz="18" w:space="8" w:color="155A3E"/>
        </w:pBdr>
      </w:pPr>
      <w:r>
        <w:rPr>
          <w:rFonts w:ascii="Arial" w:hAnsi="Arial" w:eastAsia="Arial"/>
          <w:b/>
          <w:color w:val="155A3E"/>
          <w:sz w:val="16"/>
        </w:rPr>
        <w:t>RÈGLE PROBATOIRE</w:t>
        <w:br/>
      </w:r>
      <w:r>
        <w:rPr>
          <w:rFonts w:ascii="Arial" w:hAnsi="Arial" w:eastAsia="Arial"/>
          <w:b w:val="0"/>
          <w:color w:val="162019"/>
          <w:sz w:val="20"/>
        </w:rPr>
        <w:t>Toute donnée rétrospective doit provenir d’un artefact daté et identifiable. En l’absence de source, utiliser « À RENSEIGNER » ; ne jamais reconstituer un résultat de mémoire.</w:t>
      </w:r>
    </w:p>
    <w:p>
      <w:pPr>
        <w:pStyle w:val="Heading2"/>
      </w:pPr>
      <w:r>
        <w:t>Table des matières</w:t>
      </w:r>
    </w:p>
    <w:tbl>
      <w:tblPr>
        <w:tblStyle w:val="TableGrid"/>
        <w:tblW w:type="dxa" w:w="9500"/>
        <w:jc w:val="left"/>
        <w:tblLayout w:type="fixed"/>
        <w:tblLook w:firstColumn="1" w:firstRow="1" w:lastColumn="0" w:lastRow="0" w:noHBand="0" w:noVBand="1" w:val="04A0"/>
        <w:tblInd w:w="120" w:type="dxa"/>
      </w:tblPr>
      <w:tblGrid>
        <w:gridCol w:w="1200"/>
        <w:gridCol w:w="8300"/>
      </w:tblGrid>
      <w:tr>
        <w:trPr>
          <w:tblHeader w:val="true"/>
          <w:cantSplit/>
        </w:trPr>
        <w:tc>
          <w:tcPr>
            <w:tcW w:type="dxa" w:w="1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w:t>
            </w:r>
          </w:p>
        </w:tc>
        <w:tc>
          <w:tcPr>
            <w:tcW w:type="dxa" w:w="8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Section</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01</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Objet, portée et vocabulaire</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02</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Baseline et prérequis d’entrée</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03</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Protocole du Human Pilot</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04</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Environnement et configuration</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05</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Scénarios et critères d’acceptation</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06</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Résultats et observations</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07</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Écarts, risques et réserves</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08</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Décision de gate</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09</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Dossier de preuve et visas</w:t>
            </w:r>
          </w:p>
        </w:tc>
      </w:tr>
    </w:tbl>
    <w:p>
      <w:pPr>
        <w:spacing w:after="40"/>
      </w:pPr>
    </w:p>
    <w:p>
      <w:r>
        <w:br w:type="page"/>
      </w:r>
    </w:p>
    <w:p>
      <w:pPr>
        <w:keepNext/>
        <w:spacing w:before="440" w:after="100"/>
      </w:pPr>
      <w:r>
        <w:rPr>
          <w:rFonts w:ascii="Arial" w:hAnsi="Arial" w:eastAsia="Arial"/>
          <w:b/>
          <w:color w:val="C6A15B"/>
          <w:sz w:val="16"/>
        </w:rPr>
        <w:t>CHAPITRE 01</w:t>
      </w:r>
    </w:p>
    <w:p>
      <w:pPr>
        <w:pStyle w:val="Heading1"/>
        <w:pageBreakBefore w:val="0"/>
      </w:pPr>
      <w:r>
        <w:t>Objet, portée et vocabulaire</w:t>
      </w:r>
    </w:p>
    <w:p>
      <w:pPr>
        <w:keepNext/>
        <w:spacing w:after="320"/>
      </w:pPr>
      <w:r>
        <w:rPr>
          <w:rFonts w:ascii="Arial" w:hAnsi="Arial" w:eastAsia="Arial"/>
          <w:i/>
          <w:color w:val="66736B"/>
          <w:sz w:val="25"/>
        </w:rPr>
        <w:t>Décrire exactement ce que le jalon démontre — et ce qu’il ne démontre pas.</w:t>
      </w:r>
    </w:p>
    <w:p>
      <w:pPr>
        <w:pStyle w:val="Heading2"/>
      </w:pPr>
      <w:r>
        <w:t>Objet</w:t>
      </w:r>
    </w:p>
    <w:p>
      <w:pPr>
        <w:spacing w:after="140" w:line="307" w:lineRule="auto"/>
      </w:pPr>
      <w:r>
        <w:rPr>
          <w:rFonts w:ascii="Arial" w:hAnsi="Arial" w:eastAsia="Arial"/>
          <w:i w:val="0"/>
          <w:color w:val="162019"/>
          <w:sz w:val="20"/>
        </w:rPr>
        <w:t>La Phase 3.E vise à vérifier qu’un opérateur humain peut exécuter, observer, expliquer et reprendre un workflow ALPHA borné en suivant une procédure écrite. Elle évalue la cohérence fonctionnelle, la compréhensibilité des états, le comportement en cas d’erreur et la qualité des traces produites.</w:t>
      </w:r>
    </w:p>
    <w:p>
      <w:pPr>
        <w:pStyle w:val="Heading2"/>
      </w:pPr>
      <w:r>
        <w:t>Portée retenue</w:t>
      </w:r>
    </w:p>
    <w:p>
      <w:pPr>
        <w:numPr>
          <w:ilvl w:val="0"/>
          <w:numId w:val="16"/>
        </w:numPr>
        <w:spacing w:after="80" w:line="283" w:lineRule="auto"/>
      </w:pPr>
      <w:r>
        <w:rPr>
          <w:rFonts w:ascii="Arial" w:hAnsi="Arial" w:eastAsia="Arial"/>
          <w:color w:val="162019"/>
          <w:sz w:val="20"/>
        </w:rPr>
        <w:t>exécution interne et assistée d’un ou plusieurs scénarios techniques ;</w:t>
      </w:r>
    </w:p>
    <w:p>
      <w:pPr>
        <w:numPr>
          <w:ilvl w:val="0"/>
          <w:numId w:val="16"/>
        </w:numPr>
        <w:spacing w:after="80" w:line="283" w:lineRule="auto"/>
      </w:pPr>
      <w:r>
        <w:rPr>
          <w:rFonts w:ascii="Arial" w:hAnsi="Arial" w:eastAsia="Arial"/>
          <w:color w:val="162019"/>
          <w:sz w:val="20"/>
        </w:rPr>
        <w:t>interaction avec les interfaces, scripts, contrats ou services disponibles au moment du test ;</w:t>
      </w:r>
    </w:p>
    <w:p>
      <w:pPr>
        <w:numPr>
          <w:ilvl w:val="0"/>
          <w:numId w:val="16"/>
        </w:numPr>
        <w:spacing w:after="80" w:line="283" w:lineRule="auto"/>
      </w:pPr>
      <w:r>
        <w:rPr>
          <w:rFonts w:ascii="Arial" w:hAnsi="Arial" w:eastAsia="Arial"/>
          <w:color w:val="162019"/>
          <w:sz w:val="20"/>
        </w:rPr>
        <w:t>observation des statuts, messages d’erreur, journaux et éléments de preuve ;</w:t>
      </w:r>
    </w:p>
    <w:p>
      <w:pPr>
        <w:numPr>
          <w:ilvl w:val="0"/>
          <w:numId w:val="16"/>
        </w:numPr>
        <w:spacing w:after="80" w:line="283" w:lineRule="auto"/>
      </w:pPr>
      <w:r>
        <w:rPr>
          <w:rFonts w:ascii="Arial" w:hAnsi="Arial" w:eastAsia="Arial"/>
          <w:color w:val="162019"/>
          <w:sz w:val="20"/>
        </w:rPr>
        <w:t>capacité à distinguer SUCCESS, FAULT, UNDETERMINED et EXCEPTION ;</w:t>
      </w:r>
    </w:p>
    <w:p>
      <w:pPr>
        <w:numPr>
          <w:ilvl w:val="0"/>
          <w:numId w:val="16"/>
        </w:numPr>
        <w:spacing w:after="80" w:line="283" w:lineRule="auto"/>
      </w:pPr>
      <w:r>
        <w:rPr>
          <w:rFonts w:ascii="Arial" w:hAnsi="Arial" w:eastAsia="Arial"/>
          <w:color w:val="162019"/>
          <w:sz w:val="20"/>
        </w:rPr>
        <w:t>collecte des écarts nécessaires à la préparation d’un Release Candidate.</w:t>
      </w:r>
    </w:p>
    <w:p>
      <w:pPr>
        <w:pStyle w:val="Heading2"/>
      </w:pPr>
      <w:r>
        <w:t>Exclusions explicites</w:t>
      </w:r>
    </w:p>
    <w:tbl>
      <w:tblPr>
        <w:tblStyle w:val="TableGrid"/>
        <w:tblW w:type="dxa" w:w="9500"/>
        <w:jc w:val="left"/>
        <w:tblLayout w:type="fixed"/>
        <w:tblLook w:firstColumn="1" w:firstRow="1" w:lastColumn="0" w:lastRow="0" w:noHBand="0" w:noVBand="1" w:val="04A0"/>
        <w:tblInd w:w="120" w:type="dxa"/>
      </w:tblPr>
      <w:tblGrid>
        <w:gridCol w:w="4750"/>
        <w:gridCol w:w="4750"/>
      </w:tblGrid>
      <w:tr>
        <w:trPr>
          <w:tblHeader w:val="true"/>
          <w:cantSplit/>
        </w:trPr>
        <w:tc>
          <w:tcPr>
            <w:tcW w:type="dxa" w:w="475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Ce jalon peut soutenir</w:t>
            </w:r>
          </w:p>
        </w:tc>
        <w:tc>
          <w:tcPr>
            <w:tcW w:type="dxa" w:w="475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Ce jalon ne prouve pas</w:t>
            </w:r>
          </w:p>
        </w:tc>
      </w:tr>
      <w:tr>
        <w:trPr>
          <w:cantSplit/>
        </w:trPr>
        <w:tc>
          <w:tcPr>
            <w:tcW w:type="dxa" w:w="4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Une utilisabilité technique interne minimale</w:t>
            </w:r>
          </w:p>
        </w:tc>
        <w:tc>
          <w:tcPr>
            <w:tcW w:type="dxa" w:w="4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Un besoin client ou un budget validé</w:t>
            </w:r>
          </w:p>
        </w:tc>
      </w:tr>
      <w:tr>
        <w:trPr>
          <w:cantSplit/>
        </w:trPr>
        <w:tc>
          <w:tcPr>
            <w:tcW w:type="dxa" w:w="4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Une exécution guidée sur environnement borné</w:t>
            </w:r>
          </w:p>
        </w:tc>
        <w:tc>
          <w:tcPr>
            <w:tcW w:type="dxa" w:w="4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Une exploitation autonome en production</w:t>
            </w:r>
          </w:p>
        </w:tc>
      </w:tr>
      <w:tr>
        <w:trPr>
          <w:cantSplit/>
        </w:trPr>
        <w:tc>
          <w:tcPr>
            <w:tcW w:type="dxa" w:w="4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La présence de contrôles dans les scénarios joués</w:t>
            </w:r>
          </w:p>
        </w:tc>
        <w:tc>
          <w:tcPr>
            <w:tcW w:type="dxa" w:w="4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L’absence universelle de vulnérabilité</w:t>
            </w:r>
          </w:p>
        </w:tc>
      </w:tr>
      <w:tr>
        <w:trPr>
          <w:cantSplit/>
        </w:trPr>
        <w:tc>
          <w:tcPr>
            <w:tcW w:type="dxa" w:w="4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Une compréhension par les participants identifiés</w:t>
            </w:r>
          </w:p>
        </w:tc>
        <w:tc>
          <w:tcPr>
            <w:tcW w:type="dxa" w:w="4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Une ergonomie généralisable à tous les utilisateurs</w:t>
            </w:r>
          </w:p>
        </w:tc>
      </w:tr>
      <w:tr>
        <w:trPr>
          <w:cantSplit/>
        </w:trPr>
        <w:tc>
          <w:tcPr>
            <w:tcW w:type="dxa" w:w="4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Un signal de préparation au jalon suivant</w:t>
            </w:r>
          </w:p>
        </w:tc>
        <w:tc>
          <w:tcPr>
            <w:tcW w:type="dxa" w:w="4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Une certification, une conformité MiCA ou un audit externe</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DÉFINITION DU PASS</w:t>
        <w:br/>
      </w:r>
      <w:r>
        <w:rPr>
          <w:rFonts w:ascii="Arial" w:hAnsi="Arial" w:eastAsia="Arial"/>
          <w:b w:val="0"/>
          <w:color w:val="162019"/>
          <w:sz w:val="20"/>
        </w:rPr>
        <w:t>Dans ce rapport, PASS signifie uniquement que le porteur déclare les critères internes atteints dans le périmètre joué. Le PASS devient vérifiable seulement lorsque chaque critère est rattaché à une preuve reproductible.</w:t>
      </w:r>
    </w:p>
    <w:p>
      <w:pPr>
        <w:keepNext/>
        <w:spacing w:before="440" w:after="100"/>
      </w:pPr>
      <w:r>
        <w:rPr>
          <w:rFonts w:ascii="Arial" w:hAnsi="Arial" w:eastAsia="Arial"/>
          <w:b/>
          <w:color w:val="C6A15B"/>
          <w:sz w:val="16"/>
        </w:rPr>
        <w:t>CHAPITRE 02</w:t>
      </w:r>
    </w:p>
    <w:p>
      <w:pPr>
        <w:pStyle w:val="Heading1"/>
        <w:pageBreakBefore w:val="0"/>
      </w:pPr>
      <w:r>
        <w:t>Baseline et prérequis d’entrée</w:t>
      </w:r>
    </w:p>
    <w:p>
      <w:pPr>
        <w:pStyle w:val="Heading2"/>
      </w:pPr>
      <w:r>
        <w:t>État antérieur retenu</w:t>
      </w:r>
    </w:p>
    <w:p>
      <w:pPr>
        <w:spacing w:after="140" w:line="307" w:lineRule="auto"/>
      </w:pPr>
      <w:r>
        <w:rPr>
          <w:rFonts w:ascii="Arial" w:hAnsi="Arial" w:eastAsia="Arial"/>
          <w:i w:val="0"/>
          <w:color w:val="162019"/>
          <w:sz w:val="20"/>
        </w:rPr>
        <w:t>La baseline documentaire disponible identifie la Phase 3B du 30 août 2026 comme un PASS interne documenté pour le durcissement adversarial ALPHA dans son périmètre local. Elle ne constitue pas, à elle seule, une preuve d’entrée valide en Phase 3.E : le commit, le build, les commandes, les logs et les écarts doivent être rapprochés.</w:t>
      </w:r>
    </w:p>
    <w:tbl>
      <w:tblPr>
        <w:tblStyle w:val="TableGrid"/>
        <w:tblW w:type="dxa" w:w="9500"/>
        <w:jc w:val="left"/>
        <w:tblLayout w:type="fixed"/>
        <w:tblLook w:firstColumn="1" w:firstRow="1" w:lastColumn="0" w:lastRow="0" w:noHBand="0" w:noVBand="1" w:val="04A0"/>
        <w:tblInd w:w="120" w:type="dxa"/>
      </w:tblPr>
      <w:tblGrid>
        <w:gridCol w:w="2500"/>
        <w:gridCol w:w="4300"/>
        <w:gridCol w:w="2700"/>
      </w:tblGrid>
      <w:tr>
        <w:trPr>
          <w:tblHeader w:val="true"/>
          <w:cantSplit/>
        </w:trPr>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Prérequis</w:t>
            </w:r>
          </w:p>
        </w:tc>
        <w:tc>
          <w:tcPr>
            <w:tcW w:type="dxa" w:w="4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Attendu</w:t>
            </w:r>
          </w:p>
        </w:tc>
        <w:tc>
          <w:tcPr>
            <w:tcW w:type="dxa" w:w="27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État dans ce rapport</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Baseline Phase 3B</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Rapport, date, commit et écarts fermés ou acceptés</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PARTIEL — rapport signalé</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Build candidat</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Manifest reproductible et empreinte</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Environnement</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Versions chaîne, RPC, contrats, services et données</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Scénarios approuvés</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Identifiants, préconditions et résultats attendus</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Participants</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Rôles, compétence, indépendance et consentement</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Runbook</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Procédure exécutable sans connaissance tacite</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ANNEXER</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Critères de sortie</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Seuils définis avant l’exécution</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PROUVER</w:t>
            </w:r>
          </w:p>
        </w:tc>
      </w:tr>
    </w:tbl>
    <w:p>
      <w:pPr>
        <w:spacing w:after="40"/>
      </w:pPr>
    </w:p>
    <w:p>
      <w:pPr>
        <w:pStyle w:val="Heading2"/>
      </w:pPr>
      <w:r>
        <w:t>Contradiction historique à lever</w:t>
      </w:r>
    </w:p>
    <w:p>
      <w:pPr>
        <w:spacing w:after="140" w:line="307" w:lineRule="auto"/>
      </w:pPr>
      <w:r>
        <w:rPr>
          <w:rFonts w:ascii="Arial" w:hAnsi="Arial" w:eastAsia="Arial"/>
          <w:i w:val="0"/>
          <w:color w:val="162019"/>
          <w:sz w:val="20"/>
        </w:rPr>
        <w:t>L’historique de travail mentionne un état antérieur « Phase 4B bloquée » et une readiness Release Candidate « NO ». L’artefact source n’est pas annexé ici. La chaîne de décision doit identifier la version concernée, expliquer les causes, relier les corrections et démontrer pourquoi le statut ultérieur a pu devenir PASS.</w:t>
      </w:r>
    </w:p>
    <w:p>
      <w:pPr>
        <w:spacing w:before="100" w:after="180" w:line="283" w:lineRule="auto"/>
        <w:ind w:left="227" w:right="170"/>
        <w:shd w:fill="F6F0E3"/>
        <w:pBdr>
          <w:left w:val="single" w:sz="18" w:space="8" w:color="C6A15B"/>
        </w:pBdr>
      </w:pPr>
      <w:r>
        <w:rPr>
          <w:rFonts w:ascii="Arial" w:hAnsi="Arial" w:eastAsia="Arial"/>
          <w:b/>
          <w:color w:val="C6A15B"/>
          <w:sz w:val="16"/>
        </w:rPr>
        <w:t>GATE D’ENTRÉE RECONSTITUÉE</w:t>
        <w:br/>
      </w:r>
      <w:r>
        <w:rPr>
          <w:rFonts w:ascii="Arial" w:hAnsi="Arial" w:eastAsia="Arial"/>
          <w:b w:val="0"/>
          <w:color w:val="162019"/>
          <w:sz w:val="20"/>
        </w:rPr>
        <w:t>Faute de pièces suffisantes, l’entrée en Phase 3.E ne peut pas être certifiée rétrospectivement par ce seul document. Elle reste une décision interne à documenter.</w:t>
      </w:r>
    </w:p>
    <w:p>
      <w:r>
        <w:br w:type="page"/>
      </w:r>
    </w:p>
    <w:p>
      <w:pPr>
        <w:keepNext/>
        <w:spacing w:before="440" w:after="100"/>
      </w:pPr>
      <w:r>
        <w:rPr>
          <w:rFonts w:ascii="Arial" w:hAnsi="Arial" w:eastAsia="Arial"/>
          <w:b/>
          <w:color w:val="C6A15B"/>
          <w:sz w:val="16"/>
        </w:rPr>
        <w:t>CHAPITRE 03</w:t>
      </w:r>
    </w:p>
    <w:p>
      <w:pPr>
        <w:pStyle w:val="Heading1"/>
        <w:pageBreakBefore w:val="0"/>
      </w:pPr>
      <w:r>
        <w:t>Protocole du Human Pilot</w:t>
      </w:r>
    </w:p>
    <w:p>
      <w:pPr>
        <w:pStyle w:val="Heading2"/>
      </w:pPr>
      <w:r>
        <w:t>Informations d’exécution</w:t>
      </w:r>
    </w:p>
    <w:tbl>
      <w:tblPr>
        <w:tblStyle w:val="TableGrid"/>
        <w:tblW w:type="dxa" w:w="9500"/>
        <w:jc w:val="left"/>
        <w:tblLayout w:type="fixed"/>
        <w:tblLook w:firstColumn="1" w:firstRow="1" w:lastColumn="0" w:lastRow="0" w:noHBand="0" w:noVBand="1" w:val="04A0"/>
        <w:tblInd w:w="120" w:type="dxa"/>
      </w:tblPr>
      <w:tblGrid>
        <w:gridCol w:w="3000"/>
        <w:gridCol w:w="6500"/>
      </w:tblGrid>
      <w:tr>
        <w:trPr>
          <w:tblHeader w:val="true"/>
          <w:cantSplit/>
        </w:trPr>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6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 à figer</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Date et plage horaire</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 depuis les journaux ou invitations</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Lieu / modalité</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 — local, distant ou hybride</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Responsable de session</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Observateur / scribe</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Nombre de participants</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Version testée</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 — tag et commit exact</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Durée</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Enregistrement</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 — logs, capture ou compte rendu</w:t>
            </w:r>
          </w:p>
        </w:tc>
      </w:tr>
    </w:tbl>
    <w:p>
      <w:pPr>
        <w:spacing w:after="40"/>
      </w:pPr>
    </w:p>
    <w:p>
      <w:pPr>
        <w:pStyle w:val="Heading2"/>
      </w:pPr>
      <w:r>
        <w:t>Rôles des participants</w:t>
      </w:r>
    </w:p>
    <w:tbl>
      <w:tblPr>
        <w:tblStyle w:val="TableGrid"/>
        <w:tblW w:type="dxa" w:w="9500"/>
        <w:jc w:val="left"/>
        <w:tblLayout w:type="fixed"/>
        <w:tblLook w:firstColumn="1" w:firstRow="1" w:lastColumn="0" w:lastRow="0" w:noHBand="0" w:noVBand="1" w:val="04A0"/>
        <w:tblInd w:w="120" w:type="dxa"/>
      </w:tblPr>
      <w:tblGrid>
        <w:gridCol w:w="1900"/>
        <w:gridCol w:w="4300"/>
        <w:gridCol w:w="3300"/>
      </w:tblGrid>
      <w:tr>
        <w:trPr>
          <w:tblHeader w:val="true"/>
          <w:cantSplit/>
        </w:trPr>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w:t>
            </w:r>
          </w:p>
        </w:tc>
        <w:tc>
          <w:tcPr>
            <w:tcW w:type="dxa" w:w="4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Mission</w:t>
            </w:r>
          </w:p>
        </w:tc>
        <w:tc>
          <w:tcPr>
            <w:tcW w:type="dxa" w:w="3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Donnée requise</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Pilote</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Exécute le workflow avec le runbook</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Identifiant pseudonymisé et expérience</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Observateur</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Chronomètre, note les erreurs et demandes d’aide</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Grille horodatée</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Administrateur</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Prépare l’environnement sans guider le pilote</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Actions d’administration journalisées</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Décideur gate</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Examine les preuves et accepte ou refuse la sortie</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Nom, date, décision et réserves</w:t>
            </w:r>
          </w:p>
        </w:tc>
      </w:tr>
    </w:tbl>
    <w:p>
      <w:pPr>
        <w:spacing w:after="40"/>
      </w:pPr>
    </w:p>
    <w:p>
      <w:pPr>
        <w:pStyle w:val="Heading2"/>
      </w:pPr>
      <w:r>
        <w:t>Séquence normative</w:t>
      </w:r>
    </w:p>
    <w:p>
      <w:pPr>
        <w:numPr>
          <w:ilvl w:val="0"/>
          <w:numId w:val="17"/>
        </w:numPr>
        <w:spacing w:after="80" w:line="283" w:lineRule="auto"/>
      </w:pPr>
      <w:r>
        <w:rPr>
          <w:rFonts w:ascii="Arial" w:hAnsi="Arial" w:eastAsia="Arial"/>
          <w:color w:val="162019"/>
          <w:sz w:val="20"/>
        </w:rPr>
        <w:t>Figer le protocole, les critères et la configuration avant l’ouverture de la session.</w:t>
      </w:r>
    </w:p>
    <w:p>
      <w:pPr>
        <w:numPr>
          <w:ilvl w:val="0"/>
          <w:numId w:val="17"/>
        </w:numPr>
        <w:spacing w:after="80" w:line="283" w:lineRule="auto"/>
      </w:pPr>
      <w:r>
        <w:rPr>
          <w:rFonts w:ascii="Arial" w:hAnsi="Arial" w:eastAsia="Arial"/>
          <w:color w:val="162019"/>
          <w:sz w:val="20"/>
        </w:rPr>
        <w:t>Attribuer les rôles et enregistrer les éventuels conflits d’intérêt.</w:t>
      </w:r>
    </w:p>
    <w:p>
      <w:pPr>
        <w:numPr>
          <w:ilvl w:val="0"/>
          <w:numId w:val="17"/>
        </w:numPr>
        <w:spacing w:after="80" w:line="283" w:lineRule="auto"/>
      </w:pPr>
      <w:r>
        <w:rPr>
          <w:rFonts w:ascii="Arial" w:hAnsi="Arial" w:eastAsia="Arial"/>
          <w:color w:val="162019"/>
          <w:sz w:val="20"/>
        </w:rPr>
        <w:t>Exécuter chaque scénario sans modifier les résultats attendus en cours de test.</w:t>
      </w:r>
    </w:p>
    <w:p>
      <w:pPr>
        <w:numPr>
          <w:ilvl w:val="0"/>
          <w:numId w:val="17"/>
        </w:numPr>
        <w:spacing w:after="80" w:line="283" w:lineRule="auto"/>
      </w:pPr>
      <w:r>
        <w:rPr>
          <w:rFonts w:ascii="Arial" w:hAnsi="Arial" w:eastAsia="Arial"/>
          <w:color w:val="162019"/>
          <w:sz w:val="20"/>
        </w:rPr>
        <w:t>Capturer les commandes, événements, erreurs, aides demandées et durées.</w:t>
      </w:r>
    </w:p>
    <w:p>
      <w:pPr>
        <w:numPr>
          <w:ilvl w:val="0"/>
          <w:numId w:val="17"/>
        </w:numPr>
        <w:spacing w:after="80" w:line="283" w:lineRule="auto"/>
      </w:pPr>
      <w:r>
        <w:rPr>
          <w:rFonts w:ascii="Arial" w:hAnsi="Arial" w:eastAsia="Arial"/>
          <w:color w:val="162019"/>
          <w:sz w:val="20"/>
        </w:rPr>
        <w:t>Répéter les cas critiques après remise à zéro documentée de l’état.</w:t>
      </w:r>
    </w:p>
    <w:p>
      <w:pPr>
        <w:numPr>
          <w:ilvl w:val="0"/>
          <w:numId w:val="17"/>
        </w:numPr>
        <w:spacing w:after="80" w:line="283" w:lineRule="auto"/>
      </w:pPr>
      <w:r>
        <w:rPr>
          <w:rFonts w:ascii="Arial" w:hAnsi="Arial" w:eastAsia="Arial"/>
          <w:color w:val="162019"/>
          <w:sz w:val="20"/>
        </w:rPr>
        <w:t>Classer les écarts, relier les correctifs et conserver les preuves avant/après.</w:t>
      </w:r>
    </w:p>
    <w:p>
      <w:pPr>
        <w:numPr>
          <w:ilvl w:val="0"/>
          <w:numId w:val="17"/>
        </w:numPr>
        <w:spacing w:after="80" w:line="283" w:lineRule="auto"/>
      </w:pPr>
      <w:r>
        <w:rPr>
          <w:rFonts w:ascii="Arial" w:hAnsi="Arial" w:eastAsia="Arial"/>
          <w:color w:val="162019"/>
          <w:sz w:val="20"/>
        </w:rPr>
        <w:t>Décider la gate séparément de la personne ayant développé la correction lorsque possible.</w:t>
      </w:r>
    </w:p>
    <w:p>
      <w:pPr>
        <w:keepNext/>
        <w:spacing w:before="440" w:after="100"/>
      </w:pPr>
      <w:r>
        <w:rPr>
          <w:rFonts w:ascii="Arial" w:hAnsi="Arial" w:eastAsia="Arial"/>
          <w:b/>
          <w:color w:val="C6A15B"/>
          <w:sz w:val="16"/>
        </w:rPr>
        <w:t>CHAPITRE 04</w:t>
      </w:r>
    </w:p>
    <w:p>
      <w:pPr>
        <w:pStyle w:val="Heading1"/>
        <w:pageBreakBefore w:val="0"/>
      </w:pPr>
      <w:r>
        <w:t>Environnement et configuration</w:t>
      </w:r>
    </w:p>
    <w:p>
      <w:pPr>
        <w:pStyle w:val="Heading2"/>
      </w:pPr>
      <w:r>
        <w:t>Manifest minimal</w:t>
      </w:r>
    </w:p>
    <w:tbl>
      <w:tblPr>
        <w:tblStyle w:val="TableGrid"/>
        <w:tblW w:type="dxa" w:w="9500"/>
        <w:jc w:val="left"/>
        <w:tblLayout w:type="fixed"/>
        <w:tblLook w:firstColumn="1" w:firstRow="1" w:lastColumn="0" w:lastRow="0" w:noHBand="0" w:noVBand="1" w:val="04A0"/>
        <w:tblInd w:w="120" w:type="dxa"/>
      </w:tblPr>
      <w:tblGrid>
        <w:gridCol w:w="2100"/>
        <w:gridCol w:w="3900"/>
        <w:gridCol w:w="3500"/>
      </w:tblGrid>
      <w:tr>
        <w:trPr>
          <w:tblHeader w:val="true"/>
          <w:cantSplit/>
        </w:trPr>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Composant</w:t>
            </w:r>
          </w:p>
        </w:tc>
        <w:tc>
          <w:tcPr>
            <w:tcW w:type="dxa" w:w="39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Valeur de référence</w:t>
            </w:r>
          </w:p>
        </w:tc>
        <w:tc>
          <w:tcPr>
            <w:tcW w:type="dxa" w:w="3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Dépôt / branche</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URL ou export contrôlé</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Commit / tag</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Hash complet et signature si disponible</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Dépendances</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Lockfiles et inventaire</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Runtime / toolchain</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Versions et image de build</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Chaîne</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Base Sepolia — chain ID 84532 si utilisée</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RPC, bloc de départ et horodatage</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Contrats</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Adresses, transactions, bytecodes et rôles</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Services</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Versions, configuration et état</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Jeu de données</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Empreinte, provenance et minimisation</w:t>
            </w:r>
          </w:p>
        </w:tc>
      </w:tr>
    </w:tbl>
    <w:p>
      <w:pPr>
        <w:spacing w:after="40"/>
      </w:pPr>
    </w:p>
    <w:p>
      <w:pPr>
        <w:pStyle w:val="Heading2"/>
      </w:pPr>
      <w:r>
        <w:t>Conditions de reproductibilité</w:t>
      </w:r>
    </w:p>
    <w:p>
      <w:pPr>
        <w:numPr>
          <w:ilvl w:val="0"/>
          <w:numId w:val="18"/>
        </w:numPr>
        <w:spacing w:after="80" w:line="283" w:lineRule="auto"/>
      </w:pPr>
      <w:r>
        <w:rPr>
          <w:rFonts w:ascii="Arial" w:hAnsi="Arial" w:eastAsia="Arial"/>
          <w:color w:val="162019"/>
          <w:sz w:val="20"/>
        </w:rPr>
        <w:t>aucun secret, clé privée ou donnée personnelle ne doit être copié dans le rapport ;</w:t>
      </w:r>
    </w:p>
    <w:p>
      <w:pPr>
        <w:numPr>
          <w:ilvl w:val="0"/>
          <w:numId w:val="18"/>
        </w:numPr>
        <w:spacing w:after="80" w:line="283" w:lineRule="auto"/>
      </w:pPr>
      <w:r>
        <w:rPr>
          <w:rFonts w:ascii="Arial" w:hAnsi="Arial" w:eastAsia="Arial"/>
          <w:color w:val="162019"/>
          <w:sz w:val="20"/>
        </w:rPr>
        <w:t>les paramètres sensibles sont référencés par identifiant de coffre ou de procédure ;</w:t>
      </w:r>
    </w:p>
    <w:p>
      <w:pPr>
        <w:numPr>
          <w:ilvl w:val="0"/>
          <w:numId w:val="18"/>
        </w:numPr>
        <w:spacing w:after="80" w:line="283" w:lineRule="auto"/>
      </w:pPr>
      <w:r>
        <w:rPr>
          <w:rFonts w:ascii="Arial" w:hAnsi="Arial" w:eastAsia="Arial"/>
          <w:color w:val="162019"/>
          <w:sz w:val="20"/>
        </w:rPr>
        <w:t>chaque scénario démarre depuis un état connu et restaurable ;</w:t>
      </w:r>
    </w:p>
    <w:p>
      <w:pPr>
        <w:numPr>
          <w:ilvl w:val="0"/>
          <w:numId w:val="18"/>
        </w:numPr>
        <w:spacing w:after="80" w:line="283" w:lineRule="auto"/>
      </w:pPr>
      <w:r>
        <w:rPr>
          <w:rFonts w:ascii="Arial" w:hAnsi="Arial" w:eastAsia="Arial"/>
          <w:color w:val="162019"/>
          <w:sz w:val="20"/>
        </w:rPr>
        <w:t>les horloges, numéros de blocs et confirmations sont consignés ;</w:t>
      </w:r>
    </w:p>
    <w:p>
      <w:pPr>
        <w:numPr>
          <w:ilvl w:val="0"/>
          <w:numId w:val="18"/>
        </w:numPr>
        <w:spacing w:after="80" w:line="283" w:lineRule="auto"/>
      </w:pPr>
      <w:r>
        <w:rPr>
          <w:rFonts w:ascii="Arial" w:hAnsi="Arial" w:eastAsia="Arial"/>
          <w:color w:val="162019"/>
          <w:sz w:val="20"/>
        </w:rPr>
        <w:t>tout changement pendant la session déclenche une nouvelle version ou une déviation formelle.</w:t>
      </w:r>
    </w:p>
    <w:p>
      <w:pPr>
        <w:spacing w:before="100" w:after="180" w:line="283" w:lineRule="auto"/>
        <w:ind w:left="227" w:right="170"/>
        <w:shd w:fill="F6F0E3"/>
        <w:pBdr>
          <w:left w:val="single" w:sz="18" w:space="8" w:color="C6A15B"/>
        </w:pBdr>
      </w:pPr>
      <w:r>
        <w:rPr>
          <w:rFonts w:ascii="Arial" w:hAnsi="Arial" w:eastAsia="Arial"/>
          <w:b/>
          <w:color w:val="C6A15B"/>
          <w:sz w:val="16"/>
        </w:rPr>
        <w:t>LIMITE BASE SEPOLIA</w:t>
        <w:br/>
      </w:r>
      <w:r>
        <w:rPr>
          <w:rFonts w:ascii="Arial" w:hAnsi="Arial" w:eastAsia="Arial"/>
          <w:b w:val="0"/>
          <w:color w:val="162019"/>
          <w:sz w:val="20"/>
        </w:rPr>
        <w:t>Le chain ID seul ne prouve aucun déploiement. Sans adresses, transactions, bytecodes, blocs et rôles vérifiables, l’usage de Base Sepolia reste une information déclarée.</w:t>
      </w:r>
    </w:p>
    <w:p>
      <w:r>
        <w:br w:type="page"/>
      </w:r>
    </w:p>
    <w:p>
      <w:pPr>
        <w:keepNext/>
        <w:spacing w:before="440" w:after="100"/>
      </w:pPr>
      <w:r>
        <w:rPr>
          <w:rFonts w:ascii="Arial" w:hAnsi="Arial" w:eastAsia="Arial"/>
          <w:b/>
          <w:color w:val="C6A15B"/>
          <w:sz w:val="16"/>
        </w:rPr>
        <w:t>CHAPITRE 05</w:t>
      </w:r>
    </w:p>
    <w:p>
      <w:pPr>
        <w:pStyle w:val="Heading1"/>
        <w:pageBreakBefore w:val="0"/>
      </w:pPr>
      <w:r>
        <w:t>Scénarios et critères d’acceptation</w:t>
      </w:r>
    </w:p>
    <w:p>
      <w:pPr>
        <w:keepNext/>
        <w:spacing w:after="320"/>
      </w:pPr>
      <w:r>
        <w:rPr>
          <w:rFonts w:ascii="Arial" w:hAnsi="Arial" w:eastAsia="Arial"/>
          <w:i/>
          <w:color w:val="66736B"/>
          <w:sz w:val="25"/>
        </w:rPr>
        <w:t>Le catalogue ci-dessous définit la preuve attendue ; il ne prétend pas que les scénarios ont été exécutés.</w:t>
      </w:r>
    </w:p>
    <w:p>
      <w:pPr>
        <w:pStyle w:val="Heading2"/>
      </w:pPr>
      <w:r>
        <w:t>Catalogue minimal</w:t>
      </w:r>
    </w:p>
    <w:tbl>
      <w:tblPr>
        <w:tblStyle w:val="TableGrid"/>
        <w:tblW w:type="dxa" w:w="9500"/>
        <w:jc w:val="left"/>
        <w:tblLayout w:type="fixed"/>
        <w:tblLook w:firstColumn="1" w:firstRow="1" w:lastColumn="0" w:lastRow="0" w:noHBand="0" w:noVBand="1" w:val="04A0"/>
        <w:tblInd w:w="120" w:type="dxa"/>
      </w:tblPr>
      <w:tblGrid>
        <w:gridCol w:w="1100"/>
        <w:gridCol w:w="3000"/>
        <w:gridCol w:w="3000"/>
        <w:gridCol w:w="2400"/>
      </w:tblGrid>
      <w:tr>
        <w:trPr>
          <w:tblHeader w:val="true"/>
          <w:cantSplit/>
        </w:trPr>
        <w:tc>
          <w:tcPr>
            <w:tcW w:type="dxa" w:w="1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w:t>
            </w:r>
          </w:p>
        </w:tc>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Scénario</w:t>
            </w:r>
          </w:p>
        </w:tc>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Résultat attendu</w:t>
            </w:r>
          </w:p>
        </w:tc>
        <w:tc>
          <w:tcPr>
            <w:tcW w:type="dxa" w:w="2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 requise</w:t>
            </w:r>
          </w:p>
        </w:tc>
      </w:tr>
      <w:tr>
        <w:trPr>
          <w:cantSplit/>
        </w:trPr>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HP-01</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Création d’un engagement valide</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READY sans perte de paramètres</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Entrée, snapshot et événement</w:t>
            </w:r>
          </w:p>
        </w:tc>
      </w:tr>
      <w:tr>
        <w:trPr>
          <w:cantSplit/>
        </w:trPr>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HP-02</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Acceptation par le fournisseur</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ACCEPTED et champs critiques immuables</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Signatures et empreinte</w:t>
            </w:r>
          </w:p>
        </w:tc>
      </w:tr>
      <w:tr>
        <w:trPr>
          <w:cantSplit/>
        </w:trPr>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HP-03</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Exécution conforme avant échéance</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SUCCESS après finalité</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Transaction, événement et décision</w:t>
            </w:r>
          </w:p>
        </w:tc>
      </w:tr>
      <w:tr>
        <w:trPr>
          <w:cantSplit/>
        </w:trPr>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HP-04</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Action absente avec preuve insuffisante</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UNDETERMINED — fail closed</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Observations et codes de raison</w:t>
            </w:r>
          </w:p>
        </w:tc>
      </w:tr>
      <w:tr>
        <w:trPr>
          <w:cantSplit/>
        </w:trPr>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HP-05</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Preuve de faute admissible</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FAULT sans double conséquence</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Politique, preuves et idempotence</w:t>
            </w:r>
          </w:p>
        </w:tc>
      </w:tr>
      <w:tr>
        <w:trPr>
          <w:cantSplit/>
        </w:trPr>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HP-06</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Réorganisation ou finalité incomplète</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Attente, rollback ou exception contrôlée</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Blocs, confirmations et reprise</w:t>
            </w:r>
          </w:p>
        </w:tc>
      </w:tr>
      <w:tr>
        <w:trPr>
          <w:cantSplit/>
        </w:trPr>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HP-07</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Rejeu d’une requête identique</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 doublon ni divergence</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Clé d’idempotence et journal</w:t>
            </w:r>
          </w:p>
        </w:tc>
      </w:tr>
      <w:tr>
        <w:trPr>
          <w:cantSplit/>
        </w:trPr>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HP-08</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Collecteur non autorisé ou signature invalide</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Rejet explicite</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Message, log et absence d’effet</w:t>
            </w:r>
          </w:p>
        </w:tc>
      </w:tr>
      <w:tr>
        <w:trPr>
          <w:cantSplit/>
        </w:trPr>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HP-09</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Interruption puis reprise</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État restauré sans corruption</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Checkpoint et séquence de reprise</w:t>
            </w:r>
          </w:p>
        </w:tc>
      </w:tr>
      <w:tr>
        <w:trPr>
          <w:cantSplit/>
        </w:trPr>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HP-10</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Export du dossier de preuve</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Proof Certificate complet et lisible</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Artefact exporté et hash</w:t>
            </w:r>
          </w:p>
        </w:tc>
      </w:tr>
    </w:tbl>
    <w:p>
      <w:pPr>
        <w:spacing w:after="40"/>
      </w:pPr>
    </w:p>
    <w:p>
      <w:pPr>
        <w:pStyle w:val="Heading2"/>
      </w:pPr>
      <w:r>
        <w:t>Critères humains</w:t>
      </w:r>
    </w:p>
    <w:tbl>
      <w:tblPr>
        <w:tblStyle w:val="TableGrid"/>
        <w:tblW w:type="dxa" w:w="9500"/>
        <w:jc w:val="left"/>
        <w:tblLayout w:type="fixed"/>
        <w:tblLook w:firstColumn="1" w:firstRow="1" w:lastColumn="0" w:lastRow="0" w:noHBand="0" w:noVBand="1" w:val="04A0"/>
        <w:tblInd w:w="120" w:type="dxa"/>
      </w:tblPr>
      <w:tblGrid>
        <w:gridCol w:w="2500"/>
        <w:gridCol w:w="4000"/>
        <w:gridCol w:w="3000"/>
      </w:tblGrid>
      <w:tr>
        <w:trPr>
          <w:tblHeader w:val="true"/>
          <w:cantSplit/>
        </w:trPr>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Critère</w:t>
            </w:r>
          </w:p>
        </w:tc>
        <w:tc>
          <w:tcPr>
            <w:tcW w:type="dxa" w:w="4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Mesure</w:t>
            </w:r>
          </w:p>
        </w:tc>
        <w:tc>
          <w:tcPr>
            <w:tcW w:type="dxa" w:w="30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Seuil à figer avant test</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Compréhension</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Le pilote explique l’état et la prochaine action</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Autonomie</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Nombre d’aides non prévues</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Temps</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Durée par scénario</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Erreur</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Actions incorrectes et récupérations</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Traçabilité</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Étapes associées à un artefact</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100 % des cas critiques</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Reprise</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Exécution du runbook par une autre personne</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Réussite sans connaissance tacite</w:t>
            </w:r>
          </w:p>
        </w:tc>
      </w:tr>
    </w:tbl>
    <w:p>
      <w:pPr>
        <w:spacing w:after="40"/>
      </w:pPr>
    </w:p>
    <w:p>
      <w:pPr>
        <w:keepNext/>
        <w:spacing w:before="440" w:after="100"/>
      </w:pPr>
      <w:r>
        <w:rPr>
          <w:rFonts w:ascii="Arial" w:hAnsi="Arial" w:eastAsia="Arial"/>
          <w:b/>
          <w:color w:val="C6A15B"/>
          <w:sz w:val="16"/>
        </w:rPr>
        <w:t>CHAPITRE 06</w:t>
      </w:r>
    </w:p>
    <w:p>
      <w:pPr>
        <w:pStyle w:val="Heading1"/>
        <w:pageBreakBefore w:val="0"/>
      </w:pPr>
      <w:r>
        <w:t>Résultats et observations</w:t>
      </w:r>
    </w:p>
    <w:p>
      <w:pPr>
        <w:pStyle w:val="Heading2"/>
      </w:pPr>
      <w:r>
        <w:t>Synthèse disponible</w:t>
      </w:r>
    </w:p>
    <w:tbl>
      <w:tblPr>
        <w:tblStyle w:val="TableGrid"/>
        <w:tblW w:type="dxa" w:w="9500"/>
        <w:jc w:val="left"/>
        <w:tblLayout w:type="fixed"/>
        <w:tblLook w:firstColumn="1" w:firstRow="1" w:lastColumn="0" w:lastRow="0" w:noHBand="0" w:noVBand="1" w:val="04A0"/>
        <w:tblInd w:w="120" w:type="dxa"/>
      </w:tblPr>
      <w:tblGrid>
        <w:gridCol w:w="2500"/>
        <w:gridCol w:w="3600"/>
        <w:gridCol w:w="3400"/>
      </w:tblGrid>
      <w:tr>
        <w:trPr>
          <w:tblHeader w:val="true"/>
          <w:cantSplit/>
        </w:trPr>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Dimension</w:t>
            </w:r>
          </w:p>
        </w:tc>
        <w:tc>
          <w:tcPr>
            <w:tcW w:type="dxa" w:w="3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Résultat porté</w:t>
            </w:r>
          </w:p>
        </w:tc>
        <w:tc>
          <w:tcPr>
            <w:tcW w:type="dxa" w:w="34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État de corroboration</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Résultat global</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PASS déclaré par le porteur</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CORROBORÉ</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Scénarios exécutés</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fournis</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Participants</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fournis</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Résultats bruts</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fournis</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ANNEXER</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Écarts / anomalies</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fournis</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ANNEXER</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Commit testé</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fourni</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Visa</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fourni</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SIGNER</w:t>
            </w:r>
          </w:p>
        </w:tc>
      </w:tr>
    </w:tbl>
    <w:p>
      <w:pPr>
        <w:spacing w:after="40"/>
      </w:pPr>
    </w:p>
    <w:p>
      <w:pPr>
        <w:pStyle w:val="Heading2"/>
      </w:pPr>
      <w:r>
        <w:t>Registre de résultats à compléter</w:t>
      </w:r>
    </w:p>
    <w:tbl>
      <w:tblPr>
        <w:tblStyle w:val="TableGrid"/>
        <w:tblW w:type="dxa" w:w="9500"/>
        <w:jc w:val="left"/>
        <w:tblLayout w:type="fixed"/>
        <w:tblLook w:firstColumn="1" w:firstRow="1" w:lastColumn="0" w:lastRow="0" w:noHBand="0" w:noVBand="1" w:val="04A0"/>
        <w:tblInd w:w="120" w:type="dxa"/>
      </w:tblPr>
      <w:tblGrid>
        <w:gridCol w:w="1100"/>
        <w:gridCol w:w="2100"/>
        <w:gridCol w:w="1200"/>
        <w:gridCol w:w="1100"/>
        <w:gridCol w:w="1900"/>
        <w:gridCol w:w="2100"/>
      </w:tblGrid>
      <w:tr>
        <w:trPr>
          <w:tblHeader w:val="true"/>
          <w:cantSplit/>
        </w:trPr>
        <w:tc>
          <w:tcPr>
            <w:tcW w:type="dxa" w:w="1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c>
          <w:tcPr>
            <w:tcW w:type="dxa" w:w="1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Durée</w:t>
            </w:r>
          </w:p>
        </w:tc>
        <w:tc>
          <w:tcPr>
            <w:tcW w:type="dxa" w:w="1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Aides</w:t>
            </w:r>
          </w:p>
        </w:tc>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Anomalie</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Artefact</w:t>
            </w:r>
          </w:p>
        </w:tc>
      </w:tr>
      <w:tr>
        <w:trPr>
          <w:cantSplit/>
        </w:trPr>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HP-01</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r>
      <w:tr>
        <w:trPr>
          <w:cantSplit/>
        </w:trPr>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HP-02</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r>
      <w:tr>
        <w:trPr>
          <w:cantSplit/>
        </w:trPr>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HP-03</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r>
      <w:tr>
        <w:trPr>
          <w:cantSplit/>
        </w:trPr>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HP-04</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r>
      <w:tr>
        <w:trPr>
          <w:cantSplit/>
        </w:trPr>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HP-05</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r>
      <w:tr>
        <w:trPr>
          <w:cantSplit/>
        </w:trPr>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HP-06</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r>
      <w:tr>
        <w:trPr>
          <w:cantSplit/>
        </w:trPr>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HP-07</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r>
      <w:tr>
        <w:trPr>
          <w:cantSplit/>
        </w:trPr>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HP-08</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r>
      <w:tr>
        <w:trPr>
          <w:cantSplit/>
        </w:trPr>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HP-09</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r>
      <w:tr>
        <w:trPr>
          <w:cantSplit/>
        </w:trPr>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HP-10</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INTERPRÉTATION ACTUELLE</w:t>
        <w:br/>
      </w:r>
      <w:r>
        <w:rPr>
          <w:rFonts w:ascii="Arial" w:hAnsi="Arial" w:eastAsia="Arial"/>
          <w:b w:val="0"/>
          <w:color w:val="162019"/>
          <w:sz w:val="20"/>
        </w:rPr>
        <w:t>La seule conclusion défendable est l’existence d’un PASS déclaré. Le taux de réussite, le nombre d’écarts, le temps d’exécution et la qualité de reprise ne peuvent pas être calculés sans données brutes.</w:t>
      </w:r>
    </w:p>
    <w:p>
      <w:r>
        <w:br w:type="page"/>
      </w:r>
    </w:p>
    <w:p>
      <w:pPr>
        <w:keepNext/>
        <w:spacing w:before="440" w:after="100"/>
      </w:pPr>
      <w:r>
        <w:rPr>
          <w:rFonts w:ascii="Arial" w:hAnsi="Arial" w:eastAsia="Arial"/>
          <w:b/>
          <w:color w:val="C6A15B"/>
          <w:sz w:val="16"/>
        </w:rPr>
        <w:t>CHAPITRE 07</w:t>
      </w:r>
    </w:p>
    <w:p>
      <w:pPr>
        <w:pStyle w:val="Heading1"/>
        <w:pageBreakBefore w:val="0"/>
      </w:pPr>
      <w:r>
        <w:t>Écarts, risques et réserves</w:t>
      </w:r>
    </w:p>
    <w:p>
      <w:pPr>
        <w:pStyle w:val="Heading2"/>
      </w:pPr>
      <w:r>
        <w:t>Écarts documentaires ouverts</w:t>
      </w:r>
    </w:p>
    <w:tbl>
      <w:tblPr>
        <w:tblStyle w:val="TableGrid"/>
        <w:tblW w:type="dxa" w:w="9500"/>
        <w:jc w:val="left"/>
        <w:tblLayout w:type="fixed"/>
        <w:tblLook w:firstColumn="1" w:firstRow="1" w:lastColumn="0" w:lastRow="0" w:noHBand="0" w:noVBand="1" w:val="04A0"/>
        <w:tblInd w:w="120" w:type="dxa"/>
      </w:tblPr>
      <w:tblGrid>
        <w:gridCol w:w="1200"/>
        <w:gridCol w:w="2500"/>
        <w:gridCol w:w="2100"/>
        <w:gridCol w:w="2600"/>
        <w:gridCol w:w="1100"/>
      </w:tblGrid>
      <w:tr>
        <w:trPr>
          <w:tblHeader w:val="true"/>
          <w:cantSplit/>
        </w:trPr>
        <w:tc>
          <w:tcPr>
            <w:tcW w:type="dxa" w:w="1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Écart</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Impact</w:t>
            </w:r>
          </w:p>
        </w:tc>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Action de clôture</w:t>
            </w:r>
          </w:p>
        </w:tc>
        <w:tc>
          <w:tcPr>
            <w:tcW w:type="dxa" w:w="1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E-3E-01</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Protocole exécuté absent</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Impossible de confirmer le périmètre</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Annexer la version datée</w:t>
            </w:r>
          </w:p>
        </w:tc>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OUVERT</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E-3E-02</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Commit et build absents</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Résultat non rattachable</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Figer hash, tag et manifest</w:t>
            </w:r>
          </w:p>
        </w:tc>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OUVERT</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E-3E-03</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Participants absents</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Facteur humain non qualifiable</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Documenter rôles et expérience</w:t>
            </w:r>
          </w:p>
        </w:tc>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OUVERT</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E-3E-04</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Résultats bruts absents</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PASS non recalculable</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Annexer logs et grille</w:t>
            </w:r>
          </w:p>
        </w:tc>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OUVERT</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E-3E-05</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Écarts et corrections absents</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Risque résiduel inconnu</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Rapprocher tickets et tests</w:t>
            </w:r>
          </w:p>
        </w:tc>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OUVERT</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E-3E-06</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Visa de gate absent</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Décision non formalisée</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Signer décision et réserves</w:t>
            </w:r>
          </w:p>
        </w:tc>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OUVERT</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E-3E-07</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Historique NO / bloqué non rapproché</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Contradiction de maturité</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Prouver la levée des blocages</w:t>
            </w:r>
          </w:p>
        </w:tc>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OUVERT</w:t>
            </w:r>
          </w:p>
        </w:tc>
      </w:tr>
    </w:tbl>
    <w:p>
      <w:pPr>
        <w:spacing w:after="40"/>
      </w:pPr>
    </w:p>
    <w:p>
      <w:pPr>
        <w:pStyle w:val="Heading2"/>
      </w:pPr>
      <w:r>
        <w:t>Risques résiduels</w:t>
      </w:r>
    </w:p>
    <w:p>
      <w:pPr>
        <w:numPr>
          <w:ilvl w:val="0"/>
          <w:numId w:val="19"/>
        </w:numPr>
        <w:spacing w:after="80" w:line="283" w:lineRule="auto"/>
      </w:pPr>
      <w:r>
        <w:rPr>
          <w:rFonts w:ascii="Arial" w:hAnsi="Arial" w:eastAsia="Arial"/>
          <w:color w:val="162019"/>
          <w:sz w:val="20"/>
        </w:rPr>
        <w:t>biais du développeur ou du porteur si le même acteur prépare, guide et valide la session ;</w:t>
      </w:r>
    </w:p>
    <w:p>
      <w:pPr>
        <w:numPr>
          <w:ilvl w:val="0"/>
          <w:numId w:val="19"/>
        </w:numPr>
        <w:spacing w:after="80" w:line="283" w:lineRule="auto"/>
      </w:pPr>
      <w:r>
        <w:rPr>
          <w:rFonts w:ascii="Arial" w:hAnsi="Arial" w:eastAsia="Arial"/>
          <w:color w:val="162019"/>
          <w:sz w:val="20"/>
        </w:rPr>
        <w:t>effet de démonstration : réussite assistée non représentative d’un opérateur autonome ;</w:t>
      </w:r>
    </w:p>
    <w:p>
      <w:pPr>
        <w:numPr>
          <w:ilvl w:val="0"/>
          <w:numId w:val="19"/>
        </w:numPr>
        <w:spacing w:after="80" w:line="283" w:lineRule="auto"/>
      </w:pPr>
      <w:r>
        <w:rPr>
          <w:rFonts w:ascii="Arial" w:hAnsi="Arial" w:eastAsia="Arial"/>
          <w:color w:val="162019"/>
          <w:sz w:val="20"/>
        </w:rPr>
        <w:t>surapprentissage aux scénarios connus et absence de cas inattendus ;</w:t>
      </w:r>
    </w:p>
    <w:p>
      <w:pPr>
        <w:numPr>
          <w:ilvl w:val="0"/>
          <w:numId w:val="19"/>
        </w:numPr>
        <w:spacing w:after="80" w:line="283" w:lineRule="auto"/>
      </w:pPr>
      <w:r>
        <w:rPr>
          <w:rFonts w:ascii="Arial" w:hAnsi="Arial" w:eastAsia="Arial"/>
          <w:color w:val="162019"/>
          <w:sz w:val="20"/>
        </w:rPr>
        <w:t>confusion entre preuve on-chain, preuve hors chaîne et simple absence d’événement ;</w:t>
      </w:r>
    </w:p>
    <w:p>
      <w:pPr>
        <w:numPr>
          <w:ilvl w:val="0"/>
          <w:numId w:val="19"/>
        </w:numPr>
        <w:spacing w:after="80" w:line="283" w:lineRule="auto"/>
      </w:pPr>
      <w:r>
        <w:rPr>
          <w:rFonts w:ascii="Arial" w:hAnsi="Arial" w:eastAsia="Arial"/>
          <w:color w:val="162019"/>
          <w:sz w:val="20"/>
        </w:rPr>
        <w:t>dépendance à un environnement éphémère impossible à reproduire ;</w:t>
      </w:r>
    </w:p>
    <w:p>
      <w:pPr>
        <w:numPr>
          <w:ilvl w:val="0"/>
          <w:numId w:val="19"/>
        </w:numPr>
        <w:spacing w:after="80" w:line="283" w:lineRule="auto"/>
      </w:pPr>
      <w:r>
        <w:rPr>
          <w:rFonts w:ascii="Arial" w:hAnsi="Arial" w:eastAsia="Arial"/>
          <w:color w:val="162019"/>
          <w:sz w:val="20"/>
        </w:rPr>
        <w:t>passage prématuré vers l’externe malgré l’absence de preuve opérationnelle et commerciale.</w:t>
      </w:r>
    </w:p>
    <w:p>
      <w:pPr>
        <w:pStyle w:val="Heading2"/>
      </w:pPr>
      <w:r>
        <w:t>Réserves obligatoires</w:t>
      </w:r>
    </w:p>
    <w:p>
      <w:pPr>
        <w:spacing w:before="100" w:after="180" w:line="283" w:lineRule="auto"/>
        <w:ind w:left="227" w:right="170"/>
        <w:shd w:fill="EDF3EF"/>
        <w:pBdr>
          <w:left w:val="single" w:sz="18" w:space="8" w:color="155A3E"/>
        </w:pBdr>
      </w:pPr>
      <w:r>
        <w:rPr>
          <w:rFonts w:ascii="Arial" w:hAnsi="Arial" w:eastAsia="Arial"/>
          <w:b/>
          <w:color w:val="155A3E"/>
          <w:sz w:val="16"/>
        </w:rPr>
        <w:t>RÉSERVE R-01</w:t>
        <w:br/>
      </w:r>
      <w:r>
        <w:rPr>
          <w:rFonts w:ascii="Arial" w:hAnsi="Arial" w:eastAsia="Arial"/>
          <w:b w:val="0"/>
          <w:color w:val="162019"/>
          <w:sz w:val="20"/>
        </w:rPr>
        <w:t>Ce rapport ne valide ni la sécurité mainnet, ni une utilisation financière, ni la conformité réglementaire, ni la robustesse en production.</w:t>
      </w:r>
    </w:p>
    <w:p>
      <w:pPr>
        <w:spacing w:before="100" w:after="180" w:line="283" w:lineRule="auto"/>
        <w:ind w:left="227" w:right="170"/>
        <w:shd w:fill="EDF3EF"/>
        <w:pBdr>
          <w:left w:val="single" w:sz="18" w:space="8" w:color="155A3E"/>
        </w:pBdr>
      </w:pPr>
      <w:r>
        <w:rPr>
          <w:rFonts w:ascii="Arial" w:hAnsi="Arial" w:eastAsia="Arial"/>
          <w:b/>
          <w:color w:val="155A3E"/>
          <w:sz w:val="16"/>
        </w:rPr>
        <w:t>RÉSERVE R-02</w:t>
        <w:br/>
      </w:r>
      <w:r>
        <w:rPr>
          <w:rFonts w:ascii="Arial" w:hAnsi="Arial" w:eastAsia="Arial"/>
          <w:b w:val="0"/>
          <w:color w:val="162019"/>
          <w:sz w:val="20"/>
        </w:rPr>
        <w:t>Aucun partenaire, client, auditeur ou participant externe ne doit être cité sans accord et artefact vérifiable.</w:t>
      </w:r>
    </w:p>
    <w:p>
      <w:pPr>
        <w:keepNext/>
        <w:spacing w:before="440" w:after="100"/>
      </w:pPr>
      <w:r>
        <w:rPr>
          <w:rFonts w:ascii="Arial" w:hAnsi="Arial" w:eastAsia="Arial"/>
          <w:b/>
          <w:color w:val="C6A15B"/>
          <w:sz w:val="16"/>
        </w:rPr>
        <w:t>CHAPITRE 08</w:t>
      </w:r>
    </w:p>
    <w:p>
      <w:pPr>
        <w:pStyle w:val="Heading1"/>
        <w:pageBreakBefore w:val="0"/>
      </w:pPr>
      <w:r>
        <w:t>Décision de gate</w:t>
      </w:r>
    </w:p>
    <w:p>
      <w:pPr>
        <w:pStyle w:val="Heading2"/>
      </w:pPr>
      <w:r>
        <w:t>Décision actuelle</w:t>
      </w:r>
    </w:p>
    <w:tbl>
      <w:tblPr>
        <w:tblStyle w:val="TableGrid"/>
        <w:tblW w:type="dxa" w:w="9500"/>
        <w:jc w:val="left"/>
        <w:tblLayout w:type="fixed"/>
        <w:tblLook w:firstColumn="1" w:firstRow="1" w:lastColumn="0" w:lastRow="0" w:noHBand="0" w:noVBand="1" w:val="04A0"/>
        <w:tblInd w:w="120" w:type="dxa"/>
      </w:tblPr>
      <w:tblGrid>
        <w:gridCol w:w="3300"/>
        <w:gridCol w:w="6200"/>
      </w:tblGrid>
      <w:tr>
        <w:trPr>
          <w:tblHeader w:val="true"/>
          <w:cantSplit/>
        </w:trPr>
        <w:tc>
          <w:tcPr>
            <w:tcW w:type="dxa" w:w="3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Élément</w:t>
            </w:r>
          </w:p>
        </w:tc>
        <w:tc>
          <w:tcPr>
            <w:tcW w:type="dxa" w:w="6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w:t>
            </w:r>
          </w:p>
        </w:tc>
      </w:tr>
      <w:tr>
        <w:trPr>
          <w:cantSplit/>
        </w:trPr>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Statut Phase 3.E</w:t>
            </w:r>
          </w:p>
        </w:tc>
        <w:tc>
          <w:tcPr>
            <w:tcW w:type="dxa" w:w="6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PASS DÉCLARÉ PAR LE PORTEUR</w:t>
            </w:r>
          </w:p>
        </w:tc>
      </w:tr>
      <w:tr>
        <w:trPr>
          <w:cantSplit/>
        </w:trPr>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Statut documentaire</w:t>
            </w:r>
          </w:p>
        </w:tc>
        <w:tc>
          <w:tcPr>
            <w:tcW w:type="dxa" w:w="6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INCOMPLET — preuves essentielles à annexer</w:t>
            </w:r>
          </w:p>
        </w:tc>
      </w:tr>
      <w:tr>
        <w:trPr>
          <w:cantSplit/>
        </w:trPr>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Passage en Release Candidate</w:t>
            </w:r>
          </w:p>
        </w:tc>
        <w:tc>
          <w:tcPr>
            <w:tcW w:type="dxa" w:w="6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Décision déclarée, à justifier par le rapport RC</w:t>
            </w:r>
          </w:p>
        </w:tc>
      </w:tr>
      <w:tr>
        <w:trPr>
          <w:cantSplit/>
        </w:trPr>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Pilote externe</w:t>
            </w:r>
          </w:p>
        </w:tc>
        <w:tc>
          <w:tcPr>
            <w:tcW w:type="dxa" w:w="6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AUTORISÉ PAR CE RAPPORT</w:t>
            </w:r>
          </w:p>
        </w:tc>
      </w:tr>
      <w:tr>
        <w:trPr>
          <w:cantSplit/>
        </w:trPr>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Mainnet / distribution</w:t>
            </w:r>
          </w:p>
        </w:tc>
        <w:tc>
          <w:tcPr>
            <w:tcW w:type="dxa" w:w="6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AUTORISÉS</w:t>
            </w:r>
          </w:p>
        </w:tc>
      </w:tr>
      <w:tr>
        <w:trPr>
          <w:cantSplit/>
        </w:trPr>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Audit indépendant</w:t>
            </w:r>
          </w:p>
        </w:tc>
        <w:tc>
          <w:tcPr>
            <w:tcW w:type="dxa" w:w="6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RESTE REQUIS</w:t>
            </w:r>
          </w:p>
        </w:tc>
      </w:tr>
    </w:tbl>
    <w:p>
      <w:pPr>
        <w:spacing w:after="40"/>
      </w:pPr>
    </w:p>
    <w:p>
      <w:pPr>
        <w:pStyle w:val="Heading2"/>
      </w:pPr>
      <w:r>
        <w:t>Conditions de confirmation du PASS</w:t>
      </w:r>
    </w:p>
    <w:p>
      <w:pPr>
        <w:numPr>
          <w:ilvl w:val="0"/>
          <w:numId w:val="20"/>
        </w:numPr>
        <w:spacing w:after="80" w:line="283" w:lineRule="auto"/>
      </w:pPr>
      <w:r>
        <w:rPr>
          <w:rFonts w:ascii="Arial" w:hAnsi="Arial" w:eastAsia="Arial"/>
          <w:color w:val="162019"/>
          <w:sz w:val="20"/>
        </w:rPr>
        <w:t>Rattacher le test à un commit, un build et une configuration reproductibles.</w:t>
      </w:r>
    </w:p>
    <w:p>
      <w:pPr>
        <w:numPr>
          <w:ilvl w:val="0"/>
          <w:numId w:val="20"/>
        </w:numPr>
        <w:spacing w:after="80" w:line="283" w:lineRule="auto"/>
      </w:pPr>
      <w:r>
        <w:rPr>
          <w:rFonts w:ascii="Arial" w:hAnsi="Arial" w:eastAsia="Arial"/>
          <w:color w:val="162019"/>
          <w:sz w:val="20"/>
        </w:rPr>
        <w:t>Annexer le protocole réellement exécuté et les critères fixés avant la session.</w:t>
      </w:r>
    </w:p>
    <w:p>
      <w:pPr>
        <w:numPr>
          <w:ilvl w:val="0"/>
          <w:numId w:val="20"/>
        </w:numPr>
        <w:spacing w:after="80" w:line="283" w:lineRule="auto"/>
      </w:pPr>
      <w:r>
        <w:rPr>
          <w:rFonts w:ascii="Arial" w:hAnsi="Arial" w:eastAsia="Arial"/>
          <w:color w:val="162019"/>
          <w:sz w:val="20"/>
        </w:rPr>
        <w:t>Identifier les participants, leurs rôles et le niveau d’assistance reçu.</w:t>
      </w:r>
    </w:p>
    <w:p>
      <w:pPr>
        <w:numPr>
          <w:ilvl w:val="0"/>
          <w:numId w:val="20"/>
        </w:numPr>
        <w:spacing w:after="80" w:line="283" w:lineRule="auto"/>
      </w:pPr>
      <w:r>
        <w:rPr>
          <w:rFonts w:ascii="Arial" w:hAnsi="Arial" w:eastAsia="Arial"/>
          <w:color w:val="162019"/>
          <w:sz w:val="20"/>
        </w:rPr>
        <w:t>Renseigner chaque scénario avec son résultat, sa durée, ses anomalies et ses artefacts.</w:t>
      </w:r>
    </w:p>
    <w:p>
      <w:pPr>
        <w:numPr>
          <w:ilvl w:val="0"/>
          <w:numId w:val="20"/>
        </w:numPr>
        <w:spacing w:after="80" w:line="283" w:lineRule="auto"/>
      </w:pPr>
      <w:r>
        <w:rPr>
          <w:rFonts w:ascii="Arial" w:hAnsi="Arial" w:eastAsia="Arial"/>
          <w:color w:val="162019"/>
          <w:sz w:val="20"/>
        </w:rPr>
        <w:t>Démontrer la levée des états antérieurs bloqués ou readiness NO.</w:t>
      </w:r>
    </w:p>
    <w:p>
      <w:pPr>
        <w:numPr>
          <w:ilvl w:val="0"/>
          <w:numId w:val="20"/>
        </w:numPr>
        <w:spacing w:after="80" w:line="283" w:lineRule="auto"/>
      </w:pPr>
      <w:r>
        <w:rPr>
          <w:rFonts w:ascii="Arial" w:hAnsi="Arial" w:eastAsia="Arial"/>
          <w:color w:val="162019"/>
          <w:sz w:val="20"/>
        </w:rPr>
        <w:t>Signer la décision de gate avec les réserves, risques acceptés et actions ouvertes.</w:t>
      </w:r>
    </w:p>
    <w:p>
      <w:pPr>
        <w:spacing w:before="100" w:after="180" w:line="283" w:lineRule="auto"/>
        <w:ind w:left="227" w:right="170"/>
        <w:shd w:fill="F6F0E3"/>
        <w:pBdr>
          <w:left w:val="single" w:sz="18" w:space="8" w:color="C6A15B"/>
        </w:pBdr>
      </w:pPr>
      <w:r>
        <w:rPr>
          <w:rFonts w:ascii="Arial" w:hAnsi="Arial" w:eastAsia="Arial"/>
          <w:b/>
          <w:color w:val="C6A15B"/>
          <w:sz w:val="16"/>
        </w:rPr>
        <w:t>FORMULATION EXTERNE AUTORISÉE APRÈS CONSOLIDATION</w:t>
        <w:br/>
      </w:r>
      <w:r>
        <w:rPr>
          <w:rFonts w:ascii="Arial" w:hAnsi="Arial" w:eastAsia="Arial"/>
          <w:b w:val="0"/>
          <w:color w:val="162019"/>
          <w:sz w:val="20"/>
        </w:rPr>
        <w:t>« Pacturion a conduit un Human Pilot technique interne sur la version [commit], selon le protocole [référence]. Les résultats et limites sont documentés dans le rapport Phase 3.E. Ce jalon ne constitue ni un pilote client ni un audit indépendant. »</w:t>
      </w:r>
    </w:p>
    <w:p>
      <w:r>
        <w:br w:type="page"/>
      </w:r>
    </w:p>
    <w:p>
      <w:pPr>
        <w:keepNext/>
        <w:spacing w:before="440" w:after="100"/>
      </w:pPr>
      <w:r>
        <w:rPr>
          <w:rFonts w:ascii="Arial" w:hAnsi="Arial" w:eastAsia="Arial"/>
          <w:b/>
          <w:color w:val="C6A15B"/>
          <w:sz w:val="16"/>
        </w:rPr>
        <w:t>CHAPITRE 09</w:t>
      </w:r>
    </w:p>
    <w:p>
      <w:pPr>
        <w:pStyle w:val="Heading1"/>
        <w:pageBreakBefore w:val="0"/>
      </w:pPr>
      <w:r>
        <w:t>Dossier de preuve et visas</w:t>
      </w:r>
    </w:p>
    <w:p>
      <w:pPr>
        <w:pStyle w:val="Heading2"/>
      </w:pPr>
      <w:r>
        <w:t>Index des annexes</w:t>
      </w:r>
    </w:p>
    <w:tbl>
      <w:tblPr>
        <w:tblStyle w:val="TableGrid"/>
        <w:tblW w:type="dxa" w:w="9500"/>
        <w:jc w:val="left"/>
        <w:tblLayout w:type="fixed"/>
        <w:tblLook w:firstColumn="1" w:firstRow="1" w:lastColumn="0" w:lastRow="0" w:noHBand="0" w:noVBand="1" w:val="04A0"/>
        <w:tblInd w:w="120" w:type="dxa"/>
      </w:tblPr>
      <w:tblGrid>
        <w:gridCol w:w="1300"/>
        <w:gridCol w:w="6100"/>
        <w:gridCol w:w="2100"/>
      </w:tblGrid>
      <w:tr>
        <w:trPr>
          <w:tblHeader w:val="true"/>
          <w:cantSplit/>
        </w:trPr>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Réf.</w:t>
            </w:r>
          </w:p>
        </w:tc>
        <w:tc>
          <w:tcPr>
            <w:tcW w:type="dxa" w:w="6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Pièce</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A-01</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Protocole Phase 3.E approuvé avant exécution</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ANNEXER</w:t>
            </w:r>
          </w:p>
        </w:tc>
      </w:tr>
      <w:tr>
        <w:trPr>
          <w:cantSplit/>
        </w:trPr>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A-02</w:t>
            </w:r>
          </w:p>
        </w:tc>
        <w:tc>
          <w:tcPr>
            <w:tcW w:type="dxa" w:w="6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Liste pseudonymisée des participants et rôles</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ANNEXER</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A-03</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Manifest environnement, commit, build et dépendances</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ANNEXER</w:t>
            </w:r>
          </w:p>
        </w:tc>
      </w:tr>
      <w:tr>
        <w:trPr>
          <w:cantSplit/>
        </w:trPr>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A-04</w:t>
            </w:r>
          </w:p>
        </w:tc>
        <w:tc>
          <w:tcPr>
            <w:tcW w:type="dxa" w:w="6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Grille complète des scénarios et résultats</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ANNEXER</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A-05</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Logs, captures, transactions et Proof Certificates</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ANNEXER</w:t>
            </w:r>
          </w:p>
        </w:tc>
      </w:tr>
      <w:tr>
        <w:trPr>
          <w:cantSplit/>
        </w:trPr>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A-06</w:t>
            </w:r>
          </w:p>
        </w:tc>
        <w:tc>
          <w:tcPr>
            <w:tcW w:type="dxa" w:w="6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Registre des anomalies, corrections et retests</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ANNEXER</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A-07</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Analyse de levée des états bloqués / readiness NO</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ANNEXER</w:t>
            </w:r>
          </w:p>
        </w:tc>
      </w:tr>
      <w:tr>
        <w:trPr>
          <w:cantSplit/>
        </w:trPr>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A-08</w:t>
            </w:r>
          </w:p>
        </w:tc>
        <w:tc>
          <w:tcPr>
            <w:tcW w:type="dxa" w:w="6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Décision de gate signée et risques acceptés</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SIGNER</w:t>
            </w:r>
          </w:p>
        </w:tc>
      </w:tr>
    </w:tbl>
    <w:p>
      <w:pPr>
        <w:spacing w:after="40"/>
      </w:pPr>
    </w:p>
    <w:p>
      <w:pPr>
        <w:pStyle w:val="Heading2"/>
      </w:pPr>
      <w:r>
        <w:t>Matrice de traçabilité</w:t>
      </w:r>
    </w:p>
    <w:tbl>
      <w:tblPr>
        <w:tblStyle w:val="TableGrid"/>
        <w:tblW w:type="dxa" w:w="9500"/>
        <w:jc w:val="left"/>
        <w:tblLayout w:type="fixed"/>
        <w:tblLook w:firstColumn="1" w:firstRow="1" w:lastColumn="0" w:lastRow="0" w:noHBand="0" w:noVBand="1" w:val="04A0"/>
        <w:tblInd w:w="120" w:type="dxa"/>
      </w:tblPr>
      <w:tblGrid>
        <w:gridCol w:w="2400"/>
        <w:gridCol w:w="1800"/>
        <w:gridCol w:w="2800"/>
        <w:gridCol w:w="2500"/>
      </w:tblGrid>
      <w:tr>
        <w:trPr>
          <w:tblHeader w:val="true"/>
          <w:cantSplit/>
        </w:trPr>
        <w:tc>
          <w:tcPr>
            <w:tcW w:type="dxa" w:w="2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Critère</w:t>
            </w:r>
          </w:p>
        </w:tc>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Scénario</w:t>
            </w:r>
          </w:p>
        </w:tc>
        <w:tc>
          <w:tcPr>
            <w:tcW w:type="dxa" w:w="2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Artefact</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Conclusion</w:t>
            </w:r>
          </w:p>
        </w:tc>
      </w:tr>
      <w:tr>
        <w:trPr>
          <w:cantSplit/>
        </w:trPr>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Workflow compréhensible</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HP-01 à HP-03</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A-02, A-04</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Fail closed</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HP-04</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A-04, A-05</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Faute bornée</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HP-05</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A-04, A-05</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Finalité / reorg</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HP-06</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A-03 à A-05</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Idempotence</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HP-07</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A-04 à A-06</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Contrôle d’accès</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HP-08</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A-04 à A-06</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Reprise</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HP-09</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A-03 à A-06</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Export de preuve</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HP-10</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A-05</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bl>
    <w:p>
      <w:pPr>
        <w:spacing w:after="40"/>
      </w:pPr>
    </w:p>
    <w:p>
      <w:pPr>
        <w:pStyle w:val="Heading2"/>
      </w:pPr>
      <w:r>
        <w:t>Visas</w:t>
      </w:r>
    </w:p>
    <w:tbl>
      <w:tblPr>
        <w:tblStyle w:val="TableGrid"/>
        <w:tblW w:type="dxa" w:w="9500"/>
        <w:jc w:val="left"/>
        <w:tblLayout w:type="fixed"/>
        <w:tblLook w:firstColumn="1" w:firstRow="1" w:lastColumn="0" w:lastRow="0" w:noHBand="0" w:noVBand="1" w:val="04A0"/>
        <w:tblInd w:w="120" w:type="dxa"/>
      </w:tblPr>
      <w:tblGrid>
        <w:gridCol w:w="2400"/>
        <w:gridCol w:w="2200"/>
        <w:gridCol w:w="3200"/>
        <w:gridCol w:w="1700"/>
      </w:tblGrid>
      <w:tr>
        <w:trPr>
          <w:tblHeader w:val="true"/>
          <w:cantSplit/>
        </w:trPr>
        <w:tc>
          <w:tcPr>
            <w:tcW w:type="dxa" w:w="2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Nom</w:t>
            </w:r>
          </w:p>
        </w:tc>
        <w:tc>
          <w:tcPr>
            <w:tcW w:type="dxa" w:w="32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Décision / signature</w:t>
            </w:r>
          </w:p>
        </w:tc>
        <w:tc>
          <w:tcPr>
            <w:tcW w:type="dxa" w:w="1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r>
      <w:tr>
        <w:trPr>
          <w:cantSplit/>
        </w:trPr>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Responsable de session</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SIGNER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Relecteur technique</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SIGNER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Décideur de gate</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PASS / PASS AVEC RÉSERVES / FAIL</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CLÔTURE V1.0</w:t>
        <w:br/>
      </w:r>
      <w:r>
        <w:rPr>
          <w:rFonts w:ascii="Arial" w:hAnsi="Arial" w:eastAsia="Arial"/>
          <w:b w:val="0"/>
          <w:color w:val="162019"/>
          <w:sz w:val="20"/>
        </w:rPr>
        <w:t>Ce rapport est prêt à recevoir les preuves réelles. Tant que les annexes A-01 à A-08 ne sont pas rapprochées, son statut reste DRAFT CONTRÔLÉ et la conclusion reste PASS déclaré — non corroboré.</w:t>
      </w:r>
    </w:p>
    <w:sectPr w:rsidR="00FC693F" w:rsidRPr="0006063C" w:rsidSect="00034616">
      <w:headerReference w:type="default" r:id="rId9"/>
      <w:footerReference w:type="default" r:id="rId10"/>
      <w:pgSz w:w="11906" w:h="16838"/>
      <w:pgMar w:top="1077" w:right="1134" w:bottom="1020"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 w:pos="9411" w:val="right"/>
      </w:tabs>
      <w:jc w:val="right"/>
    </w:pPr>
    <w:r>
      <w:rPr>
        <w:rFonts w:ascii="Arial" w:hAnsi="Arial" w:eastAsia="Arial"/>
        <w:color w:val="66736B"/>
        <w:sz w:val="14"/>
      </w:rPr>
      <w:t>PACTURION — PHASE 3.E V1.0</w:t>
    </w:r>
    <w:r>
      <w:rPr>
        <w:rFonts w:ascii="Arial" w:hAnsi="Arial" w:eastAsia="Arial"/>
        <w:b/>
        <w:color w:val="C6A15B"/>
        <w:sz w:val="14"/>
      </w:rPr>
      <w:tab/>
      <w:t xml:space="preserve">RAPPORT CONTRÔLÉ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eastAsia="Arial"/>
        <w:b/>
        <w:color w:val="66736B"/>
        <w:sz w:val="15"/>
      </w:rPr>
      <w:t>PACTURION   |   PHASE 3.E HUMAN PILOT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pPr>
      <w:rPr>
        <w:color w:val="C6A15B"/>
      </w:rPr>
    </w:lvl>
  </w:abstractNum>
  <w:num w:numId="10">
    <w:abstractNumId w:val="9"/>
  </w:num>
  <w:abstractNum w:abstractNumId="10">
    <w:multiLevelType w:val="singleLevel"/>
    <w:lvl w:ilvl="0">
      <w:start w:val="1"/>
      <w:numFmt w:val="decimal"/>
      <w:lvlText w:val="%1."/>
      <w:suff w:val="tab"/>
      <w:pPr>
        <w:tabs>
          <w:tab w:val="num" w:pos="540"/>
        </w:tabs>
        <w:ind w:left="540" w:hanging="270"/>
      </w:pPr>
      <w:rPr>
        <w:color w:val="155A3E"/>
      </w:rPr>
    </w:lvl>
  </w:abstractNum>
  <w:num w:numId="11">
    <w:abstractNumId w:val="10"/>
  </w:num>
  <w:abstractNum w:abstractNumId="11">
    <w:multiLevelType w:val="singleLevel"/>
    <w:lvl w:ilvl="0">
      <w:start w:val="1"/>
      <w:numFmt w:val="decimal"/>
      <w:lvlText w:val="%1."/>
      <w:suff w:val="tab"/>
      <w:pPr>
        <w:tabs>
          <w:tab w:val="num" w:pos="540"/>
        </w:tabs>
        <w:ind w:left="540" w:hanging="270"/>
      </w:pPr>
      <w:rPr>
        <w:color w:val="155A3E"/>
      </w:rPr>
    </w:lvl>
  </w:abstractNum>
  <w:num w:numId="12">
    <w:abstractNumId w:val="11"/>
  </w:num>
  <w:abstractNum w:abstractNumId="12">
    <w:multiLevelType w:val="singleLevel"/>
    <w:lvl w:ilvl="0">
      <w:start w:val="1"/>
      <w:numFmt w:val="decimal"/>
      <w:lvlText w:val="%1."/>
      <w:suff w:val="tab"/>
      <w:pPr>
        <w:tabs>
          <w:tab w:val="num" w:pos="540"/>
        </w:tabs>
        <w:ind w:left="540" w:hanging="270"/>
      </w:pPr>
      <w:rPr>
        <w:color w:val="155A3E"/>
      </w:rPr>
    </w:lvl>
  </w:abstractNum>
  <w:num w:numId="13">
    <w:abstractNumId w:val="12"/>
  </w:num>
  <w:abstractNum w:abstractNumId="13">
    <w:multiLevelType w:val="singleLevel"/>
    <w:lvl w:ilvl="0">
      <w:start w:val="1"/>
      <w:numFmt w:val="decimal"/>
      <w:lvlText w:val="%1."/>
      <w:suff w:val="tab"/>
      <w:pPr>
        <w:tabs>
          <w:tab w:val="num" w:pos="540"/>
        </w:tabs>
        <w:ind w:left="540" w:hanging="270"/>
      </w:pPr>
      <w:rPr>
        <w:color w:val="155A3E"/>
      </w:rPr>
    </w:lvl>
  </w:abstractNum>
  <w:num w:numId="14">
    <w:abstractNumId w:val="13"/>
  </w:num>
  <w:abstractNum w:abstractNumId="14">
    <w:multiLevelType w:val="singleLevel"/>
    <w:lvl w:ilvl="0">
      <w:start w:val="1"/>
      <w:numFmt w:val="decimal"/>
      <w:lvlText w:val="%1."/>
      <w:suff w:val="tab"/>
      <w:pPr>
        <w:tabs>
          <w:tab w:val="num" w:pos="540"/>
        </w:tabs>
        <w:ind w:left="540" w:hanging="270"/>
      </w:pPr>
      <w:rPr>
        <w:color w:val="155A3E"/>
      </w:rPr>
    </w:lvl>
  </w:abstractNum>
  <w:num w:numId="15">
    <w:abstractNumId w:val="14"/>
  </w:num>
  <w:abstractNum w:abstractNumId="15">
    <w:multiLevelType w:val="singleLevel"/>
    <w:lvl w:ilvl="0">
      <w:start w:val="1"/>
      <w:numFmt w:val="bullet"/>
      <w:lvlText w:val="•"/>
      <w:suff w:val="tab"/>
      <w:pPr>
        <w:tabs>
          <w:tab w:val="num" w:pos="540"/>
        </w:tabs>
        <w:ind w:left="540" w:hanging="270"/>
      </w:pPr>
      <w:rPr>
        <w:color w:val="C6A15B"/>
      </w:rPr>
    </w:lvl>
  </w:abstractNum>
  <w:num w:numId="16">
    <w:abstractNumId w:val="15"/>
  </w:num>
  <w:abstractNum w:abstractNumId="16">
    <w:multiLevelType w:val="singleLevel"/>
    <w:lvl w:ilvl="0">
      <w:start w:val="1"/>
      <w:numFmt w:val="decimal"/>
      <w:lvlText w:val="%1."/>
      <w:suff w:val="tab"/>
      <w:pPr>
        <w:tabs>
          <w:tab w:val="num" w:pos="540"/>
        </w:tabs>
        <w:ind w:left="540" w:hanging="270"/>
      </w:pPr>
      <w:rPr>
        <w:color w:val="155A3E"/>
      </w:rPr>
    </w:lvl>
  </w:abstractNum>
  <w:num w:numId="17">
    <w:abstractNumId w:val="16"/>
  </w:num>
  <w:abstractNum w:abstractNumId="17">
    <w:multiLevelType w:val="singleLevel"/>
    <w:lvl w:ilvl="0">
      <w:start w:val="1"/>
      <w:numFmt w:val="bullet"/>
      <w:lvlText w:val="•"/>
      <w:suff w:val="tab"/>
      <w:pPr>
        <w:tabs>
          <w:tab w:val="num" w:pos="540"/>
        </w:tabs>
        <w:ind w:left="540" w:hanging="270"/>
      </w:pPr>
      <w:rPr>
        <w:color w:val="C6A15B"/>
      </w:rPr>
    </w:lvl>
  </w:abstractNum>
  <w:num w:numId="18">
    <w:abstractNumId w:val="17"/>
  </w:num>
  <w:abstractNum w:abstractNumId="18">
    <w:multiLevelType w:val="singleLevel"/>
    <w:lvl w:ilvl="0">
      <w:start w:val="1"/>
      <w:numFmt w:val="bullet"/>
      <w:lvlText w:val="•"/>
      <w:suff w:val="tab"/>
      <w:pPr>
        <w:tabs>
          <w:tab w:val="num" w:pos="540"/>
        </w:tabs>
        <w:ind w:left="540" w:hanging="270"/>
      </w:pPr>
      <w:rPr>
        <w:color w:val="C6A15B"/>
      </w:rPr>
    </w:lvl>
  </w:abstractNum>
  <w:num w:numId="19">
    <w:abstractNumId w:val="18"/>
  </w:num>
  <w:abstractNum w:abstractNumId="19">
    <w:multiLevelType w:val="singleLevel"/>
    <w:lvl w:ilvl="0">
      <w:start w:val="1"/>
      <w:numFmt w:val="decimal"/>
      <w:lvlText w:val="%1."/>
      <w:suff w:val="tab"/>
      <w:pPr>
        <w:tabs>
          <w:tab w:val="num" w:pos="540"/>
        </w:tabs>
        <w:ind w:left="540" w:hanging="270"/>
      </w:pPr>
      <w:rPr>
        <w:color w:val="155A3E"/>
      </w:rPr>
    </w:lvl>
  </w:abstract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40" w:line="307" w:lineRule="auto"/>
    </w:pPr>
    <w:rPr>
      <w:rFonts w:ascii="Arial" w:hAnsi="Arial"/>
      <w:color w:val="16201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Arial" w:hAnsi="Arial"/>
      <w:b/>
      <w:bCs/>
      <w:color w:val="06110B"/>
      <w:sz w:val="44"/>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0D3A28"/>
      <w:sz w:val="28"/>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rial" w:hAnsi="Arial"/>
      <w:b/>
      <w:bCs/>
      <w:color w:val="155A3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eur-lex.europa.eu/eli/reg/2023/1114/oj" TargetMode="External"/><Relationship Id="rId13" Type="http://schemas.openxmlformats.org/officeDocument/2006/relationships/hyperlink" Target="https://docs.openzeppelin.com/contracts/5.x/governance" TargetMode="External"/><Relationship Id="rId14" Type="http://schemas.openxmlformats.org/officeDocument/2006/relationships/hyperlink" Target="https://docs.base.org/base-chain/network-information/" TargetMode="External"/><Relationship Id="rId15" Type="http://schemas.openxmlformats.org/officeDocument/2006/relationships/hyperlink" Target="https://www.amf-france.org/fr/espace-professionnels/fintech/mes-relations-avec-lamf/emission-admission-de-crypto-actifs" TargetMode="External"/><Relationship Id="rId16" Type="http://schemas.openxmlformats.org/officeDocument/2006/relationships/hyperlink" Target="https://eips.ethereum.org/EIPS/eip-20" TargetMode="External"/><Relationship Id="rId17" Type="http://schemas.openxmlformats.org/officeDocument/2006/relationships/hyperlink" Target="https://eips.ethereum.org/EIPS/eip-712" TargetMode="External"/><Relationship Id="rId18" Type="http://schemas.openxmlformats.org/officeDocument/2006/relationships/hyperlink" Target="https://eips.ethereum.org/EIPS/eip-12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Pacturion — Rapport Phase 3.E Human Pilot V1.0</dc:title>
  <dc:subject>Formalisation du jalon technique interne Human Pilot</dc:subject>
  <dc:creator>Pacturion</dc:creator>
  <cp:keywords>Pacturion, VERIDIA Protocol, ALPHA, Phase 3.E, Human Pilot, validation, preuves</cp:keywords>
  <dc:description>DRAFT contrôlé — PASS déclaré, preuves à annexer</dc:description>
  <cp:lastModifiedBy/>
  <cp:revision>1</cp:revision>
  <dcterms:created xsi:type="dcterms:W3CDTF">2013-12-23T23:15:00Z</dcterms:created>
  <dcterms:modified xsi:type="dcterms:W3CDTF">2013-12-23T23:15:00Z</dcterms:modified>
  <cp:category/>
</cp:coreProperties>
</file>