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960"/>
        <w:jc w:val="center"/>
      </w:pPr>
      <w:r>
        <w:drawing>
          <wp:inline xmlns:a="http://schemas.openxmlformats.org/drawingml/2006/main" xmlns:pic="http://schemas.openxmlformats.org/drawingml/2006/picture">
            <wp:extent cx="6120000" cy="1036190"/>
            <wp:docPr id="1" name="Picture 1" descr="Bannière Pacturion avec logo doré sur fond sombre et ligne d’horizon lumineuse" title="Pacturion"/>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6120000" cy="1036190"/>
                    </a:xfrm>
                    <a:prstGeom prst="rect"/>
                  </pic:spPr>
                </pic:pic>
              </a:graphicData>
            </a:graphic>
          </wp:inline>
        </w:drawing>
      </w:r>
    </w:p>
    <w:p>
      <w:pPr>
        <w:spacing w:after="80"/>
      </w:pPr>
      <w:r>
        <w:rPr>
          <w:rFonts w:ascii="Arial" w:hAnsi="Arial" w:eastAsia="Arial"/>
          <w:b/>
          <w:color w:val="06110B"/>
          <w:sz w:val="54"/>
        </w:rPr>
        <w:t>RAPPORT RELEASE CANDIDATE</w:t>
      </w:r>
    </w:p>
    <w:p>
      <w:pPr>
        <w:spacing w:after="160"/>
      </w:pPr>
      <w:r>
        <w:rPr>
          <w:rFonts w:ascii="Arial" w:hAnsi="Arial" w:eastAsia="Arial"/>
          <w:color w:val="155A3E"/>
          <w:sz w:val="31"/>
        </w:rPr>
        <w:t>ALPHA / VERIDIA Protocol — version de consolidation V1.0</w:t>
      </w:r>
    </w:p>
    <w:p>
      <w:pPr>
        <w:spacing w:after="400"/>
      </w:pPr>
      <w:r>
        <w:rPr>
          <w:rFonts w:ascii="Arial" w:hAnsi="Arial" w:eastAsia="Arial"/>
          <w:color w:val="162019"/>
          <w:sz w:val="23"/>
        </w:rPr>
        <w:t>Formalisation du jalon RC déclaré PASS par le porteur du projet.</w:t>
      </w:r>
    </w:p>
    <w:tbl>
      <w:tblPr>
        <w:tblStyle w:val="TableGrid"/>
        <w:tblW w:type="dxa" w:w="9500"/>
        <w:jc w:val="left"/>
        <w:tblLayout w:type="fixed"/>
        <w:tblLook w:firstColumn="1" w:firstRow="1" w:lastColumn="0" w:lastRow="0" w:noHBand="0" w:noVBand="1" w:val="04A0"/>
        <w:tblInd w:w="120" w:type="dxa"/>
      </w:tblPr>
      <w:tblGrid>
        <w:gridCol w:w="1300"/>
        <w:gridCol w:w="2100"/>
        <w:gridCol w:w="3400"/>
        <w:gridCol w:w="27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VERSION</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PROPRIÉTAIRE</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1.0</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8 septembre 2026</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DRAFT CONTRÔLÉ</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8"/>
              </w:rPr>
              <w:t>Pacturion</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CONCLUSION DE COUVERTURE</w:t>
        <w:br/>
      </w:r>
      <w:r>
        <w:rPr>
          <w:rFonts w:ascii="Arial" w:hAnsi="Arial" w:eastAsia="Arial"/>
          <w:b w:val="0"/>
          <w:color w:val="162019"/>
          <w:sz w:val="20"/>
        </w:rPr>
        <w:t>La Release Candidate est déclarée PASS par le porteur. Le commit, le build reproductible, les résultats complets, le registre Base Sepolia, la démonstration de reprise, les risques acceptés et le visa de gate ne sont pas encore annexés. Ce rapport prépare la consolidation ; il ne confirme pas une aptitude à la production.</w:t>
      </w:r>
    </w:p>
    <w:p>
      <w:pPr>
        <w:spacing w:before="480"/>
      </w:pPr>
      <w:r>
        <w:rPr>
          <w:rFonts w:ascii="Arial" w:hAnsi="Arial" w:eastAsia="Arial"/>
          <w:b/>
          <w:color w:val="C6A15B"/>
          <w:sz w:val="22"/>
        </w:rPr>
        <w:t>PASS déclaré. Preuves à réconcilier. Portée strictement interne.</w:t>
      </w:r>
    </w:p>
    <w:p>
      <w:r>
        <w:br w:type="page"/>
      </w:r>
    </w:p>
    <w:p>
      <w:pPr>
        <w:keepNext/>
        <w:spacing w:before="440" w:after="100"/>
      </w:pPr>
      <w:r>
        <w:rPr>
          <w:rFonts w:ascii="Arial" w:hAnsi="Arial" w:eastAsia="Arial"/>
          <w:b/>
          <w:color w:val="C6A15B"/>
          <w:sz w:val="16"/>
        </w:rPr>
        <w:t>CHAPITRE 00</w:t>
      </w:r>
    </w:p>
    <w:p>
      <w:pPr>
        <w:pStyle w:val="Heading1"/>
        <w:pageBreakBefore w:val="0"/>
      </w:pPr>
      <w:r>
        <w:t>Contrôle du document</w:t>
      </w:r>
    </w:p>
    <w:tbl>
      <w:tblPr>
        <w:tblStyle w:val="TableGrid"/>
        <w:tblW w:type="dxa" w:w="9500"/>
        <w:jc w:val="left"/>
        <w:tblLayout w:type="fixed"/>
        <w:tblLook w:firstColumn="1" w:firstRow="1" w:lastColumn="0" w:lastRow="0" w:noHBand="0" w:noVBand="1" w:val="04A0"/>
        <w:tblInd w:w="120" w:type="dxa"/>
      </w:tblPr>
      <w:tblGrid>
        <w:gridCol w:w="2500"/>
        <w:gridCol w:w="7000"/>
      </w:tblGrid>
      <w:tr>
        <w:trPr>
          <w:tblHeader w:val="true"/>
          <w:cantSplit/>
        </w:trPr>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7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Entité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Pacturion</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Infrastructure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VERIDIA Protocol</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Produit</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ALPHA — hypothèse produit interne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Jalon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Release Candidate</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Résultat porté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par le porteur du projet</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Version candidate</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 — tag, commit et empreinte de build</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Phase 3.E</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déclaré ; rapport V1.0 en consolidation</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indépendant</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w:t>
            </w:r>
          </w:p>
        </w:tc>
      </w:tr>
      <w:tr>
        <w:trPr>
          <w:cantSplit/>
        </w:trPr>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Validation marché</w:t>
            </w:r>
          </w:p>
        </w:tc>
        <w:tc>
          <w:tcPr>
            <w:tcW w:type="dxa" w:w="7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réalisée ou non prouvée</w:t>
            </w:r>
          </w:p>
        </w:tc>
      </w:tr>
      <w:tr>
        <w:trPr>
          <w:cantSplit/>
        </w:trPr>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Autorisation</w:t>
            </w:r>
          </w:p>
        </w:tc>
        <w:tc>
          <w:tcPr>
            <w:tcW w:type="dxa" w:w="7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Audit/revue interne uniquement ; aucun mainnet ni diffusion publique</w:t>
            </w:r>
          </w:p>
        </w:tc>
      </w:tr>
    </w:tbl>
    <w:p>
      <w:pPr>
        <w:spacing w:after="40"/>
      </w:pPr>
    </w:p>
    <w:p>
      <w:pPr>
        <w:spacing w:before="100" w:after="180" w:line="283" w:lineRule="auto"/>
        <w:ind w:left="227" w:right="170"/>
        <w:shd w:fill="EDF3EF"/>
        <w:pBdr>
          <w:left w:val="single" w:sz="18" w:space="8" w:color="155A3E"/>
        </w:pBdr>
      </w:pPr>
      <w:r>
        <w:rPr>
          <w:rFonts w:ascii="Arial" w:hAnsi="Arial" w:eastAsia="Arial"/>
          <w:b/>
          <w:color w:val="155A3E"/>
          <w:sz w:val="16"/>
        </w:rPr>
        <w:t>RÈGLE DE LECTURE</w:t>
        <w:br/>
      </w:r>
      <w:r>
        <w:rPr>
          <w:rFonts w:ascii="Arial" w:hAnsi="Arial" w:eastAsia="Arial"/>
          <w:b w:val="0"/>
          <w:color w:val="162019"/>
          <w:sz w:val="20"/>
        </w:rPr>
        <w:t>« Release Candidate » désigne une version figée pour validation. Le terme ne signifie ni release publique, ni sécurité certifiée, ni conformité réglementaire, ni validation client.</w:t>
      </w:r>
    </w:p>
    <w:p>
      <w:pPr>
        <w:pStyle w:val="Heading2"/>
      </w:pPr>
      <w:r>
        <w:t>Table des matières</w:t>
      </w:r>
    </w:p>
    <w:tbl>
      <w:tblPr>
        <w:tblStyle w:val="TableGrid"/>
        <w:tblW w:type="dxa" w:w="9500"/>
        <w:jc w:val="left"/>
        <w:tblLayout w:type="fixed"/>
        <w:tblLook w:firstColumn="1" w:firstRow="1" w:lastColumn="0" w:lastRow="0" w:noHBand="0" w:noVBand="1" w:val="04A0"/>
        <w:tblInd w:w="120" w:type="dxa"/>
      </w:tblPr>
      <w:tblGrid>
        <w:gridCol w:w="1200"/>
        <w:gridCol w:w="83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w:t>
            </w:r>
          </w:p>
        </w:tc>
        <w:tc>
          <w:tcPr>
            <w:tcW w:type="dxa" w:w="8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Section</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01</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Objet et portée de la gate RC</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02</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Identité et gel de la candidate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03</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Baselines et conditions d’entrée</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04</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Matrice des critères Release Candidate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05</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Tests et reproductibilité</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06</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Sécurité et risques résiduels</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07</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Preuves Base Sepolia</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08</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Readiness opérationnelle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09</w:t>
            </w:r>
          </w:p>
        </w:tc>
        <w:tc>
          <w:tcPr>
            <w:tcW w:type="dxa" w:w="8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Limites produit, juridiques et économiques</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10</w:t>
            </w:r>
          </w:p>
        </w:tc>
        <w:tc>
          <w:tcPr>
            <w:tcW w:type="dxa" w:w="8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Décision, annexes et visas</w:t>
            </w:r>
          </w:p>
        </w:tc>
      </w:tr>
    </w:tbl>
    <w:p>
      <w:pPr>
        <w:spacing w:after="40"/>
      </w:pPr>
    </w:p>
    <w:p>
      <w:r>
        <w:br w:type="page"/>
      </w:r>
    </w:p>
    <w:p>
      <w:pPr>
        <w:keepNext/>
        <w:spacing w:before="440" w:after="100"/>
      </w:pPr>
      <w:r>
        <w:rPr>
          <w:rFonts w:ascii="Arial" w:hAnsi="Arial" w:eastAsia="Arial"/>
          <w:b/>
          <w:color w:val="C6A15B"/>
          <w:sz w:val="16"/>
        </w:rPr>
        <w:t>CHAPITRE 01</w:t>
      </w:r>
    </w:p>
    <w:p>
      <w:pPr>
        <w:pStyle w:val="Heading1"/>
        <w:pageBreakBefore w:val="0"/>
      </w:pPr>
      <w:r>
        <w:t>Objet et portée de la gate RC</w:t>
      </w:r>
    </w:p>
    <w:p>
      <w:pPr>
        <w:keepNext/>
        <w:spacing w:after="320"/>
      </w:pPr>
      <w:r>
        <w:rPr>
          <w:rFonts w:ascii="Arial" w:hAnsi="Arial" w:eastAsia="Arial"/>
          <w:i/>
          <w:color w:val="66736B"/>
          <w:sz w:val="25"/>
        </w:rPr>
        <w:t>Figer une candidate vérifiable pour revue — pas déclarer le système prêt à être publié.</w:t>
      </w:r>
    </w:p>
    <w:p>
      <w:pPr>
        <w:pStyle w:val="Heading2"/>
      </w:pPr>
      <w:r>
        <w:t>Objet</w:t>
      </w:r>
    </w:p>
    <w:p>
      <w:pPr>
        <w:spacing w:after="140" w:line="307" w:lineRule="auto"/>
      </w:pPr>
      <w:r>
        <w:rPr>
          <w:rFonts w:ascii="Arial" w:hAnsi="Arial" w:eastAsia="Arial"/>
          <w:i w:val="0"/>
          <w:color w:val="162019"/>
          <w:sz w:val="20"/>
        </w:rPr>
        <w:t>La gate Release Candidate doit identifier une version unique d’ALPHA et du VERIDIA Protocol, démontrer que ses critères techniques critiques ont été évalués, enregistrer les anomalies et risques acceptés, puis décider si cette candidate peut entrer en revue indépendante ou en audit préparatoire.</w:t>
      </w:r>
    </w:p>
    <w:p>
      <w:pPr>
        <w:pStyle w:val="Heading2"/>
      </w:pPr>
      <w:r>
        <w:t>Décisions autorisées</w:t>
      </w:r>
    </w:p>
    <w:tbl>
      <w:tblPr>
        <w:tblStyle w:val="TableGrid"/>
        <w:tblW w:type="dxa" w:w="9500"/>
        <w:jc w:val="left"/>
        <w:tblLayout w:type="fixed"/>
        <w:tblLook w:firstColumn="1" w:firstRow="1" w:lastColumn="0" w:lastRow="0" w:noHBand="0" w:noVBand="1" w:val="04A0"/>
        <w:tblInd w:w="120" w:type="dxa"/>
      </w:tblPr>
      <w:tblGrid>
        <w:gridCol w:w="2800"/>
        <w:gridCol w:w="6700"/>
      </w:tblGrid>
      <w:tr>
        <w:trPr>
          <w:tblHeader w:val="true"/>
          <w:cantSplit/>
        </w:trPr>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c>
          <w:tcPr>
            <w:tcW w:type="dxa" w:w="6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Signification</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Candidate figée et preuves suffisantes pour la prochaine revue interne ou indépendante</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AVEC RÉSERVES</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Écarts non bloquants, propriétaires et échéances explicitement acceptés</w:t>
            </w:r>
          </w:p>
        </w:tc>
      </w:tr>
      <w:tr>
        <w:trPr>
          <w:cantSplit/>
        </w:trPr>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w:t>
            </w:r>
          </w:p>
        </w:tc>
        <w:tc>
          <w:tcPr>
            <w:tcW w:type="dxa" w:w="6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Un critère bloquant, une preuve absente ou une contradiction interdit la progression</w:t>
            </w:r>
          </w:p>
        </w:tc>
      </w:tr>
      <w:tr>
        <w:trPr>
          <w:cantSplit/>
        </w:trPr>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 DECISION</w:t>
            </w:r>
          </w:p>
        </w:tc>
        <w:tc>
          <w:tcPr>
            <w:tcW w:type="dxa" w:w="6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Les preuves ne permettent pas de conclure sans fabriquer ou extrapoler</w:t>
            </w:r>
          </w:p>
        </w:tc>
      </w:tr>
    </w:tbl>
    <w:p>
      <w:pPr>
        <w:spacing w:after="40"/>
      </w:pPr>
    </w:p>
    <w:p>
      <w:pPr>
        <w:pStyle w:val="Heading2"/>
      </w:pPr>
      <w:r>
        <w:t>Effets exclus</w:t>
      </w:r>
    </w:p>
    <w:p>
      <w:pPr>
        <w:numPr>
          <w:ilvl w:val="0"/>
          <w:numId w:val="16"/>
        </w:numPr>
        <w:spacing w:after="80" w:line="283" w:lineRule="auto"/>
      </w:pPr>
      <w:r>
        <w:rPr>
          <w:rFonts w:ascii="Arial" w:hAnsi="Arial" w:eastAsia="Arial"/>
          <w:color w:val="162019"/>
          <w:sz w:val="20"/>
        </w:rPr>
        <w:t>aucune autorisation de déployer en mainnet ou de manipuler des fonds réels ;</w:t>
      </w:r>
    </w:p>
    <w:p>
      <w:pPr>
        <w:numPr>
          <w:ilvl w:val="0"/>
          <w:numId w:val="16"/>
        </w:numPr>
        <w:spacing w:after="80" w:line="283" w:lineRule="auto"/>
      </w:pPr>
      <w:r>
        <w:rPr>
          <w:rFonts w:ascii="Arial" w:hAnsi="Arial" w:eastAsia="Arial"/>
          <w:color w:val="162019"/>
          <w:sz w:val="20"/>
        </w:rPr>
        <w:t>aucune distribution publique du token VERIDIA ni activation d’une fonction économique ;</w:t>
      </w:r>
    </w:p>
    <w:p>
      <w:pPr>
        <w:numPr>
          <w:ilvl w:val="0"/>
          <w:numId w:val="16"/>
        </w:numPr>
        <w:spacing w:after="80" w:line="283" w:lineRule="auto"/>
      </w:pPr>
      <w:r>
        <w:rPr>
          <w:rFonts w:ascii="Arial" w:hAnsi="Arial" w:eastAsia="Arial"/>
          <w:color w:val="162019"/>
          <w:sz w:val="20"/>
        </w:rPr>
        <w:t>aucune affirmation d’audit externe, de certification ou de conformité MiCA ;</w:t>
      </w:r>
    </w:p>
    <w:p>
      <w:pPr>
        <w:numPr>
          <w:ilvl w:val="0"/>
          <w:numId w:val="16"/>
        </w:numPr>
        <w:spacing w:after="80" w:line="283" w:lineRule="auto"/>
      </w:pPr>
      <w:r>
        <w:rPr>
          <w:rFonts w:ascii="Arial" w:hAnsi="Arial" w:eastAsia="Arial"/>
          <w:color w:val="162019"/>
          <w:sz w:val="20"/>
        </w:rPr>
        <w:t>aucune validation d’un besoin marché, d’un prix ou d’un pilote client ;</w:t>
      </w:r>
    </w:p>
    <w:p>
      <w:pPr>
        <w:numPr>
          <w:ilvl w:val="0"/>
          <w:numId w:val="16"/>
        </w:numPr>
        <w:spacing w:after="80" w:line="283" w:lineRule="auto"/>
      </w:pPr>
      <w:r>
        <w:rPr>
          <w:rFonts w:ascii="Arial" w:hAnsi="Arial" w:eastAsia="Arial"/>
          <w:color w:val="162019"/>
          <w:sz w:val="20"/>
        </w:rPr>
        <w:t>aucune extension automatique à d’autres workflows, chaînes ou domaines de confiance.</w:t>
      </w:r>
    </w:p>
    <w:p>
      <w:pPr>
        <w:spacing w:before="100" w:after="180" w:line="283" w:lineRule="auto"/>
        <w:ind w:left="227" w:right="170"/>
        <w:shd w:fill="F6F0E3"/>
        <w:pBdr>
          <w:left w:val="single" w:sz="18" w:space="8" w:color="C6A15B"/>
        </w:pBdr>
      </w:pPr>
      <w:r>
        <w:rPr>
          <w:rFonts w:ascii="Arial" w:hAnsi="Arial" w:eastAsia="Arial"/>
          <w:b/>
          <w:color w:val="C6A15B"/>
          <w:sz w:val="16"/>
        </w:rPr>
        <w:t>STATUT PROBATOIRE</w:t>
        <w:br/>
      </w:r>
      <w:r>
        <w:rPr>
          <w:rFonts w:ascii="Arial" w:hAnsi="Arial" w:eastAsia="Arial"/>
          <w:b w:val="0"/>
          <w:color w:val="162019"/>
          <w:sz w:val="20"/>
        </w:rPr>
        <w:t>La seule conclusion actuellement soutenue est « Release Candidate déclarée PASS par le porteur — rapport formel et commit de référence non fournis ».</w:t>
      </w:r>
    </w:p>
    <w:p>
      <w:pPr>
        <w:keepNext/>
        <w:spacing w:before="440" w:after="100"/>
      </w:pPr>
      <w:r>
        <w:rPr>
          <w:rFonts w:ascii="Arial" w:hAnsi="Arial" w:eastAsia="Arial"/>
          <w:b/>
          <w:color w:val="C6A15B"/>
          <w:sz w:val="16"/>
        </w:rPr>
        <w:t>CHAPITRE 02</w:t>
      </w:r>
    </w:p>
    <w:p>
      <w:pPr>
        <w:pStyle w:val="Heading1"/>
        <w:pageBreakBefore w:val="0"/>
      </w:pPr>
      <w:r>
        <w:t>Identité et gel de la candidate</w:t>
      </w:r>
    </w:p>
    <w:p>
      <w:pPr>
        <w:pStyle w:val="Heading2"/>
      </w:pPr>
      <w:r>
        <w:t>Carte d’identité</w:t>
      </w:r>
    </w:p>
    <w:tbl>
      <w:tblPr>
        <w:tblStyle w:val="TableGrid"/>
        <w:tblW w:type="dxa" w:w="9500"/>
        <w:jc w:val="left"/>
        <w:tblLayout w:type="fixed"/>
        <w:tblLook w:firstColumn="1" w:firstRow="1" w:lastColumn="0" w:lastRow="0" w:noHBand="0" w:noVBand="1" w:val="04A0"/>
        <w:tblInd w:w="120" w:type="dxa"/>
      </w:tblPr>
      <w:tblGrid>
        <w:gridCol w:w="2300"/>
        <w:gridCol w:w="3800"/>
        <w:gridCol w:w="34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Attribut</w:t>
            </w:r>
          </w:p>
        </w:tc>
        <w:tc>
          <w:tcPr>
            <w:tcW w:type="dxa" w:w="3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 à figer</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Nom de release</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Tag signé ou registre contrôlé</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Commit source</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Hash complet immuable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Date de gel</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Horodatage du tag / décision</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Build</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Empreinte et manifest</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Dépendances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Lockfiles et SBOM</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Configuration</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Variables non secrètes et profils</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Migrations</w:t>
            </w:r>
          </w:p>
        </w:tc>
        <w:tc>
          <w:tcPr>
            <w:tcW w:type="dxa" w:w="3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Scripts, ordre et rollback</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Artefacts</w:t>
            </w:r>
          </w:p>
        </w:tc>
        <w:tc>
          <w:tcPr>
            <w:tcW w:type="dxa" w:w="3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Paquets, images et checksums</w:t>
            </w:r>
          </w:p>
        </w:tc>
      </w:tr>
    </w:tbl>
    <w:p>
      <w:pPr>
        <w:spacing w:after="40"/>
      </w:pPr>
    </w:p>
    <w:p>
      <w:pPr>
        <w:pStyle w:val="Heading2"/>
      </w:pPr>
      <w:r>
        <w:t>Règles de gel</w:t>
      </w:r>
    </w:p>
    <w:p>
      <w:pPr>
        <w:numPr>
          <w:ilvl w:val="0"/>
          <w:numId w:val="17"/>
        </w:numPr>
        <w:spacing w:after="80" w:line="283" w:lineRule="auto"/>
      </w:pPr>
      <w:r>
        <w:rPr>
          <w:rFonts w:ascii="Arial" w:hAnsi="Arial" w:eastAsia="Arial"/>
          <w:color w:val="162019"/>
          <w:sz w:val="20"/>
        </w:rPr>
        <w:t>Créer un tag unique rattaché au commit exact présenté à la gate.</w:t>
      </w:r>
    </w:p>
    <w:p>
      <w:pPr>
        <w:numPr>
          <w:ilvl w:val="0"/>
          <w:numId w:val="17"/>
        </w:numPr>
        <w:spacing w:after="80" w:line="283" w:lineRule="auto"/>
      </w:pPr>
      <w:r>
        <w:rPr>
          <w:rFonts w:ascii="Arial" w:hAnsi="Arial" w:eastAsia="Arial"/>
          <w:color w:val="162019"/>
          <w:sz w:val="20"/>
        </w:rPr>
        <w:t>Produire les artefacts depuis un environnement documenté et reproductible.</w:t>
      </w:r>
    </w:p>
    <w:p>
      <w:pPr>
        <w:numPr>
          <w:ilvl w:val="0"/>
          <w:numId w:val="17"/>
        </w:numPr>
        <w:spacing w:after="80" w:line="283" w:lineRule="auto"/>
      </w:pPr>
      <w:r>
        <w:rPr>
          <w:rFonts w:ascii="Arial" w:hAnsi="Arial" w:eastAsia="Arial"/>
          <w:color w:val="162019"/>
          <w:sz w:val="20"/>
        </w:rPr>
        <w:t>Calculer les empreintes après build et avant tout transfert.</w:t>
      </w:r>
    </w:p>
    <w:p>
      <w:pPr>
        <w:numPr>
          <w:ilvl w:val="0"/>
          <w:numId w:val="17"/>
        </w:numPr>
        <w:spacing w:after="80" w:line="283" w:lineRule="auto"/>
      </w:pPr>
      <w:r>
        <w:rPr>
          <w:rFonts w:ascii="Arial" w:hAnsi="Arial" w:eastAsia="Arial"/>
          <w:color w:val="162019"/>
          <w:sz w:val="20"/>
        </w:rPr>
        <w:t>Interdire toute correction silencieuse ; un changement crée une nouvelle candidate.</w:t>
      </w:r>
    </w:p>
    <w:p>
      <w:pPr>
        <w:numPr>
          <w:ilvl w:val="0"/>
          <w:numId w:val="17"/>
        </w:numPr>
        <w:spacing w:after="80" w:line="283" w:lineRule="auto"/>
      </w:pPr>
      <w:r>
        <w:rPr>
          <w:rFonts w:ascii="Arial" w:hAnsi="Arial" w:eastAsia="Arial"/>
          <w:color w:val="162019"/>
          <w:sz w:val="20"/>
        </w:rPr>
        <w:t>Conserver séparément secrets, données sensibles et configuration publiable.</w:t>
      </w:r>
    </w:p>
    <w:p>
      <w:pPr>
        <w:numPr>
          <w:ilvl w:val="0"/>
          <w:numId w:val="17"/>
        </w:numPr>
        <w:spacing w:after="80" w:line="283" w:lineRule="auto"/>
      </w:pPr>
      <w:r>
        <w:rPr>
          <w:rFonts w:ascii="Arial" w:hAnsi="Arial" w:eastAsia="Arial"/>
          <w:color w:val="162019"/>
          <w:sz w:val="20"/>
        </w:rPr>
        <w:t>Relier chaque résultat de test à la même candidate et au même manifest.</w:t>
      </w:r>
    </w:p>
    <w:p>
      <w:pPr>
        <w:spacing w:before="100" w:after="180" w:line="283" w:lineRule="auto"/>
        <w:ind w:left="227" w:right="170"/>
        <w:shd w:fill="F6F0E3"/>
        <w:pBdr>
          <w:left w:val="single" w:sz="18" w:space="8" w:color="C6A15B"/>
        </w:pBdr>
      </w:pPr>
      <w:r>
        <w:rPr>
          <w:rFonts w:ascii="Arial" w:hAnsi="Arial" w:eastAsia="Arial"/>
          <w:b/>
          <w:color w:val="C6A15B"/>
          <w:sz w:val="16"/>
        </w:rPr>
        <w:t>CRITÈRE BLOQUANT</w:t>
        <w:br/>
      </w:r>
      <w:r>
        <w:rPr>
          <w:rFonts w:ascii="Arial" w:hAnsi="Arial" w:eastAsia="Arial"/>
          <w:b w:val="0"/>
          <w:color w:val="162019"/>
          <w:sz w:val="20"/>
        </w:rPr>
        <w:t>Sans identité immuable de la candidate, aucun résultat historique ne peut confirmer la gate RC.</w:t>
      </w:r>
    </w:p>
    <w:p>
      <w:pPr>
        <w:pStyle w:val="Heading2"/>
      </w:pPr>
      <w:r>
        <w:t>Inventaire du périmètre gelé</w:t>
      </w:r>
    </w:p>
    <w:tbl>
      <w:tblPr>
        <w:tblStyle w:val="TableGrid"/>
        <w:tblW w:type="dxa" w:w="9500"/>
        <w:jc w:val="left"/>
        <w:tblLayout w:type="fixed"/>
        <w:tblLook w:firstColumn="1" w:firstRow="1" w:lastColumn="0" w:lastRow="0" w:noHBand="0" w:noVBand="1" w:val="04A0"/>
        <w:tblInd w:w="120" w:type="dxa"/>
      </w:tblPr>
      <w:tblGrid>
        <w:gridCol w:w="1900"/>
        <w:gridCol w:w="3900"/>
        <w:gridCol w:w="37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Bloc</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Inclus dans la candidate</w:t>
            </w:r>
          </w:p>
        </w:tc>
        <w:tc>
          <w:tcPr>
            <w:tcW w:type="dxa" w:w="37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Exclusion ou limite</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Contrats</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Versions et artefacts à renseigner</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Tout contrat non rattaché au manifest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Indexer, preuve et stockage à renseigner</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Services expérimentaux non testés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Interfaces</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CLI, API ou UI réellement testées</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Fonctions masquées ou inachevées</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Fixtures et schémas versionnés</w:t>
            </w:r>
          </w:p>
        </w:tc>
        <w:tc>
          <w:tcPr>
            <w:tcW w:type="dxa" w:w="3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réelles non autorisées</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Documentation</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Runbooks et spécifications applicables</w:t>
            </w:r>
          </w:p>
        </w:tc>
        <w:tc>
          <w:tcPr>
            <w:tcW w:type="dxa" w:w="3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Brouillons non approuvés</w:t>
            </w:r>
          </w:p>
        </w:tc>
      </w:tr>
    </w:tbl>
    <w:p>
      <w:pPr>
        <w:spacing w:after="40"/>
      </w:pPr>
    </w:p>
    <w:p>
      <w:r>
        <w:br w:type="page"/>
      </w:r>
    </w:p>
    <w:p>
      <w:pPr>
        <w:keepNext/>
        <w:spacing w:before="440" w:after="100"/>
      </w:pPr>
      <w:r>
        <w:rPr>
          <w:rFonts w:ascii="Arial" w:hAnsi="Arial" w:eastAsia="Arial"/>
          <w:b/>
          <w:color w:val="C6A15B"/>
          <w:sz w:val="16"/>
        </w:rPr>
        <w:t>CHAPITRE 03</w:t>
      </w:r>
    </w:p>
    <w:p>
      <w:pPr>
        <w:pStyle w:val="Heading1"/>
        <w:pageBreakBefore w:val="0"/>
      </w:pPr>
      <w:r>
        <w:t>Baselines et conditions d’entrée</w:t>
      </w:r>
    </w:p>
    <w:p>
      <w:pPr>
        <w:pStyle w:val="Heading2"/>
      </w:pPr>
      <w:r>
        <w:t>Baselines documentaires</w:t>
      </w:r>
    </w:p>
    <w:tbl>
      <w:tblPr>
        <w:tblStyle w:val="TableGrid"/>
        <w:tblW w:type="dxa" w:w="9500"/>
        <w:jc w:val="left"/>
        <w:tblLayout w:type="fixed"/>
        <w:tblLook w:firstColumn="1" w:firstRow="1" w:lastColumn="0" w:lastRow="0" w:noHBand="0" w:noVBand="1" w:val="04A0"/>
        <w:tblInd w:w="120" w:type="dxa"/>
      </w:tblPr>
      <w:tblGrid>
        <w:gridCol w:w="1900"/>
        <w:gridCol w:w="2200"/>
        <w:gridCol w:w="3900"/>
        <w:gridCol w:w="15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Jalon</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Statut porté</w:t>
            </w:r>
          </w:p>
        </w:tc>
        <w:tc>
          <w:tcPr>
            <w:tcW w:type="dxa" w:w="39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de réutilisation</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Phase 3B</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interne documenté</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Rattacher rapport, commit, commandes, logs et écarts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PARTIEL</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Phase 3.E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PASS déclaré</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Rattacher protocole, participants, résultats, artefacts et visa</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INCOMPLET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 readiness antérieure</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NO signalé dans l’historique</w:t>
            </w:r>
          </w:p>
        </w:tc>
        <w:tc>
          <w:tcPr>
            <w:tcW w:type="dxa" w:w="3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Identifier la version et prouver la levée des blocages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Phase 4B antérieure</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Bloquée selon l’historique</w:t>
            </w:r>
          </w:p>
        </w:tc>
        <w:tc>
          <w:tcPr>
            <w:tcW w:type="dxa" w:w="3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Expliquer causes, correctifs et retests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OUVERT</w:t>
            </w:r>
          </w:p>
        </w:tc>
      </w:tr>
    </w:tbl>
    <w:p>
      <w:pPr>
        <w:spacing w:after="40"/>
      </w:pPr>
    </w:p>
    <w:p>
      <w:pPr>
        <w:pStyle w:val="Heading2"/>
      </w:pPr>
      <w:r>
        <w:t>Conditions d’entrée minimales</w:t>
      </w:r>
    </w:p>
    <w:p>
      <w:pPr>
        <w:numPr>
          <w:ilvl w:val="0"/>
          <w:numId w:val="18"/>
        </w:numPr>
        <w:spacing w:after="80" w:line="283" w:lineRule="auto"/>
      </w:pPr>
      <w:r>
        <w:rPr>
          <w:rFonts w:ascii="Arial" w:hAnsi="Arial" w:eastAsia="Arial"/>
          <w:color w:val="162019"/>
          <w:sz w:val="20"/>
        </w:rPr>
        <w:t>candidate figée et manifest de build disponible ;</w:t>
      </w:r>
    </w:p>
    <w:p>
      <w:pPr>
        <w:numPr>
          <w:ilvl w:val="0"/>
          <w:numId w:val="18"/>
        </w:numPr>
        <w:spacing w:after="80" w:line="283" w:lineRule="auto"/>
      </w:pPr>
      <w:r>
        <w:rPr>
          <w:rFonts w:ascii="Arial" w:hAnsi="Arial" w:eastAsia="Arial"/>
          <w:color w:val="162019"/>
          <w:sz w:val="20"/>
        </w:rPr>
        <w:t>critères de gate approuvés avant le run final ;</w:t>
      </w:r>
    </w:p>
    <w:p>
      <w:pPr>
        <w:numPr>
          <w:ilvl w:val="0"/>
          <w:numId w:val="18"/>
        </w:numPr>
        <w:spacing w:after="80" w:line="283" w:lineRule="auto"/>
      </w:pPr>
      <w:r>
        <w:rPr>
          <w:rFonts w:ascii="Arial" w:hAnsi="Arial" w:eastAsia="Arial"/>
          <w:color w:val="162019"/>
          <w:sz w:val="20"/>
        </w:rPr>
        <w:t>rapport Phase 3.E consolidé ou écarts explicitement acceptés ;</w:t>
      </w:r>
    </w:p>
    <w:p>
      <w:pPr>
        <w:numPr>
          <w:ilvl w:val="0"/>
          <w:numId w:val="18"/>
        </w:numPr>
        <w:spacing w:after="80" w:line="283" w:lineRule="auto"/>
      </w:pPr>
      <w:r>
        <w:rPr>
          <w:rFonts w:ascii="Arial" w:hAnsi="Arial" w:eastAsia="Arial"/>
          <w:color w:val="162019"/>
          <w:sz w:val="20"/>
        </w:rPr>
        <w:t>corpus de tests versionné, incluant négatifs et adversariaux ;</w:t>
      </w:r>
    </w:p>
    <w:p>
      <w:pPr>
        <w:numPr>
          <w:ilvl w:val="0"/>
          <w:numId w:val="18"/>
        </w:numPr>
        <w:spacing w:after="80" w:line="283" w:lineRule="auto"/>
      </w:pPr>
      <w:r>
        <w:rPr>
          <w:rFonts w:ascii="Arial" w:hAnsi="Arial" w:eastAsia="Arial"/>
          <w:color w:val="162019"/>
          <w:sz w:val="20"/>
        </w:rPr>
        <w:t>registre des anomalies à jour avec sévérité, propriétaire et décision ;</w:t>
      </w:r>
    </w:p>
    <w:p>
      <w:pPr>
        <w:numPr>
          <w:ilvl w:val="0"/>
          <w:numId w:val="18"/>
        </w:numPr>
        <w:spacing w:after="80" w:line="283" w:lineRule="auto"/>
      </w:pPr>
      <w:r>
        <w:rPr>
          <w:rFonts w:ascii="Arial" w:hAnsi="Arial" w:eastAsia="Arial"/>
          <w:color w:val="162019"/>
          <w:sz w:val="20"/>
        </w:rPr>
        <w:t>environnement de test reproductible et données identifiées ;</w:t>
      </w:r>
    </w:p>
    <w:p>
      <w:pPr>
        <w:numPr>
          <w:ilvl w:val="0"/>
          <w:numId w:val="18"/>
        </w:numPr>
        <w:spacing w:after="80" w:line="283" w:lineRule="auto"/>
      </w:pPr>
      <w:r>
        <w:rPr>
          <w:rFonts w:ascii="Arial" w:hAnsi="Arial" w:eastAsia="Arial"/>
          <w:color w:val="162019"/>
          <w:sz w:val="20"/>
        </w:rPr>
        <w:t>aucun changement de périmètre masqué entre la dernière preuve et la candidate.</w:t>
      </w:r>
    </w:p>
    <w:p>
      <w:pPr>
        <w:spacing w:before="100" w:after="180" w:line="283" w:lineRule="auto"/>
        <w:ind w:left="227" w:right="170"/>
        <w:shd w:fill="EDF3EF"/>
        <w:pBdr>
          <w:left w:val="single" w:sz="18" w:space="8" w:color="155A3E"/>
        </w:pBdr>
      </w:pPr>
      <w:r>
        <w:rPr>
          <w:rFonts w:ascii="Arial" w:hAnsi="Arial" w:eastAsia="Arial"/>
          <w:b/>
          <w:color w:val="155A3E"/>
          <w:sz w:val="16"/>
        </w:rPr>
        <w:t>CONTRADICTION À RÉSOUDRE</w:t>
        <w:br/>
      </w:r>
      <w:r>
        <w:rPr>
          <w:rFonts w:ascii="Arial" w:hAnsi="Arial" w:eastAsia="Arial"/>
          <w:b w:val="0"/>
          <w:color w:val="162019"/>
          <w:sz w:val="20"/>
        </w:rPr>
        <w:t>Un PASS ultérieur n’efface pas un statut NO ou bloqué. Il doit démontrer, artefact par artefact, ce qui a changé et pourquoi le critère est désormais satisfait.</w:t>
      </w:r>
    </w:p>
    <w:p>
      <w:pPr>
        <w:keepNext/>
        <w:spacing w:before="440" w:after="100"/>
      </w:pPr>
      <w:r>
        <w:rPr>
          <w:rFonts w:ascii="Arial" w:hAnsi="Arial" w:eastAsia="Arial"/>
          <w:b/>
          <w:color w:val="C6A15B"/>
          <w:sz w:val="16"/>
        </w:rPr>
        <w:t>CHAPITRE 04</w:t>
      </w:r>
    </w:p>
    <w:p>
      <w:pPr>
        <w:pStyle w:val="Heading1"/>
        <w:pageBreakBefore w:val="0"/>
      </w:pPr>
      <w:r>
        <w:t>Matrice des critères Release Candidate</w:t>
      </w:r>
    </w:p>
    <w:p>
      <w:pPr>
        <w:pStyle w:val="Heading2"/>
      </w:pPr>
      <w:r>
        <w:t>Critères bloquants ALPHA</w:t>
      </w:r>
    </w:p>
    <w:tbl>
      <w:tblPr>
        <w:tblStyle w:val="TableGrid"/>
        <w:tblW w:type="dxa" w:w="9500"/>
        <w:jc w:val="left"/>
        <w:tblLayout w:type="fixed"/>
        <w:tblLook w:firstColumn="1" w:firstRow="1" w:lastColumn="0" w:lastRow="0" w:noHBand="0" w:noVBand="1" w:val="04A0"/>
        <w:tblInd w:w="120" w:type="dxa"/>
      </w:tblPr>
      <w:tblGrid>
        <w:gridCol w:w="1100"/>
        <w:gridCol w:w="2900"/>
        <w:gridCol w:w="4000"/>
        <w:gridCol w:w="1500"/>
      </w:tblGrid>
      <w:tr>
        <w:trPr>
          <w:tblHeader w:val="true"/>
          <w:cantSplit/>
        </w:trPr>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4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 minimale</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 actuel</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RC-01</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Zéro Critical ou High non accepté</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findings, correctifs, retests et acceptations signées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RC-02</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Aucun faux PROVIDER_FAULT dans l’adversarial approuvé</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Corpus, seeds, résultats et revue des classifications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RC-03</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Build et tests reproductibles depuis un commit immuable</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Commit, lockfiles, commandes, checksums et second run</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RC-04</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Persistance et reprise démontrées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Arrêt contrôlé, checkpoint, redémarrage et cohérence finale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RC-05</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Base Sepolia complet</w:t>
            </w:r>
          </w:p>
        </w:tc>
        <w:tc>
          <w:tcPr>
            <w:tcW w:type="dxa" w:w="4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Adresses, tx, blocs, bytecodes, rôles et configuration</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COMPLÉTER</w:t>
            </w:r>
          </w:p>
        </w:tc>
      </w:tr>
      <w:tr>
        <w:trPr>
          <w:cantSplit/>
        </w:trPr>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RC-06</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 exécutable par un tiers</w:t>
            </w:r>
          </w:p>
        </w:tc>
        <w:tc>
          <w:tcPr>
            <w:tcW w:type="dxa" w:w="4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Exécution observée sans connaissance tacite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bl>
    <w:p>
      <w:pPr>
        <w:spacing w:after="40"/>
      </w:pPr>
    </w:p>
    <w:p>
      <w:pPr>
        <w:pStyle w:val="Heading2"/>
      </w:pPr>
      <w:r>
        <w:t>Règle de décision</w:t>
      </w:r>
    </w:p>
    <w:tbl>
      <w:tblPr>
        <w:tblStyle w:val="TableGrid"/>
        <w:tblW w:type="dxa" w:w="9500"/>
        <w:jc w:val="left"/>
        <w:tblLayout w:type="fixed"/>
        <w:tblLook w:firstColumn="1" w:firstRow="1" w:lastColumn="0" w:lastRow="0" w:noHBand="0" w:noVBand="1" w:val="04A0"/>
        <w:tblInd w:w="120" w:type="dxa"/>
      </w:tblPr>
      <w:tblGrid>
        <w:gridCol w:w="3100"/>
        <w:gridCol w:w="6400"/>
      </w:tblGrid>
      <w:tr>
        <w:trPr>
          <w:tblHeader w:val="true"/>
          <w:cantSplit/>
        </w:trPr>
        <w:tc>
          <w:tcPr>
            <w:tcW w:type="dxa" w:w="3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Situation</w:t>
            </w:r>
          </w:p>
        </w:tc>
        <w:tc>
          <w:tcPr>
            <w:tcW w:type="dxa" w:w="6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Traitement</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Preuve absente sur un critère bloquant</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ou NO DECISION</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Résultat non rattaché au commit RC</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Inadmissible pour la gate</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Critical / High ouvert</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sauf acceptation formelle exceptionnelle et périmètre non exposé</w:t>
            </w:r>
          </w:p>
        </w:tc>
      </w:tr>
      <w:tr>
        <w:trPr>
          <w:cantSplit/>
        </w:trPr>
        <w:tc>
          <w:tcPr>
            <w:tcW w:type="dxa" w:w="3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Faux PROVIDER_FAULT</w:t>
            </w:r>
          </w:p>
        </w:tc>
        <w:tc>
          <w:tcPr>
            <w:tcW w:type="dxa" w:w="6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FAIL — risque de décision injustifiée</w:t>
            </w:r>
          </w:p>
        </w:tc>
      </w:tr>
      <w:tr>
        <w:trPr>
          <w:cantSplit/>
        </w:trPr>
        <w:tc>
          <w:tcPr>
            <w:tcW w:type="dxa" w:w="3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Réserve mineure</w:t>
            </w:r>
          </w:p>
        </w:tc>
        <w:tc>
          <w:tcPr>
            <w:tcW w:type="dxa" w:w="6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PASS AVEC RÉSERVES si propriétaire, délai et contournement sont documentés</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ÉTAT DE LA MATRICE</w:t>
        <w:br/>
      </w:r>
      <w:r>
        <w:rPr>
          <w:rFonts w:ascii="Arial" w:hAnsi="Arial" w:eastAsia="Arial"/>
          <w:b w:val="0"/>
          <w:color w:val="162019"/>
          <w:sz w:val="20"/>
        </w:rPr>
        <w:t>Le statut global PASS ne peut pas être recalculé dans cette édition : les résultats critère par critère ne sont pas annexés.</w:t>
      </w:r>
    </w:p>
    <w:p>
      <w:pPr>
        <w:pStyle w:val="Heading2"/>
      </w:pPr>
      <w:r>
        <w:t>Feuille de décision critère par critère</w:t>
      </w:r>
    </w:p>
    <w:tbl>
      <w:tblPr>
        <w:tblStyle w:val="TableGrid"/>
        <w:tblW w:type="dxa" w:w="9500"/>
        <w:jc w:val="left"/>
        <w:tblLayout w:type="fixed"/>
        <w:tblLook w:firstColumn="1" w:firstRow="1" w:lastColumn="0" w:lastRow="0" w:noHBand="0" w:noVBand="1" w:val="04A0"/>
        <w:tblInd w:w="120" w:type="dxa"/>
      </w:tblPr>
      <w:tblGrid>
        <w:gridCol w:w="1200"/>
        <w:gridCol w:w="2200"/>
        <w:gridCol w:w="2500"/>
        <w:gridCol w:w="3600"/>
      </w:tblGrid>
      <w:tr>
        <w:trPr>
          <w:tblHeader w:val="true"/>
          <w:cantSplit/>
        </w:trPr>
        <w:tc>
          <w:tcPr>
            <w:tcW w:type="dxa" w:w="1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ID</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Artefact</w:t>
            </w:r>
          </w:p>
        </w:tc>
        <w:tc>
          <w:tcPr>
            <w:tcW w:type="dxa" w:w="36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Réserve / propriétaire</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RC-01</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RC-02</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RC-03</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RC-04</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RC-05</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c>
          <w:tcPr>
            <w:tcW w:type="dxa" w:w="36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1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RC-06</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c>
          <w:tcPr>
            <w:tcW w:type="dxa" w:w="36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r>
        <w:br w:type="page"/>
      </w:r>
    </w:p>
    <w:p>
      <w:pPr>
        <w:keepNext/>
        <w:spacing w:before="440" w:after="100"/>
      </w:pPr>
      <w:r>
        <w:rPr>
          <w:rFonts w:ascii="Arial" w:hAnsi="Arial" w:eastAsia="Arial"/>
          <w:b/>
          <w:color w:val="C6A15B"/>
          <w:sz w:val="16"/>
        </w:rPr>
        <w:t>CHAPITRE 05</w:t>
      </w:r>
    </w:p>
    <w:p>
      <w:pPr>
        <w:pStyle w:val="Heading1"/>
        <w:pageBreakBefore w:val="0"/>
      </w:pPr>
      <w:r>
        <w:t>Tests et reproductibilité</w:t>
      </w:r>
    </w:p>
    <w:p>
      <w:pPr>
        <w:pStyle w:val="Heading2"/>
      </w:pPr>
      <w:r>
        <w:t>Paquets de tests requis</w:t>
      </w:r>
    </w:p>
    <w:tbl>
      <w:tblPr>
        <w:tblStyle w:val="TableGrid"/>
        <w:tblW w:type="dxa" w:w="9500"/>
        <w:jc w:val="left"/>
        <w:tblLayout w:type="fixed"/>
        <w:tblLook w:firstColumn="1" w:firstRow="1" w:lastColumn="0" w:lastRow="0" w:noHBand="0" w:noVBand="1" w:val="04A0"/>
        <w:tblInd w:w="120" w:type="dxa"/>
      </w:tblPr>
      <w:tblGrid>
        <w:gridCol w:w="1800"/>
        <w:gridCol w:w="2800"/>
        <w:gridCol w:w="3400"/>
        <w:gridCol w:w="1500"/>
      </w:tblGrid>
      <w:tr>
        <w:trPr>
          <w:tblHeader w:val="true"/>
          <w:cantSplit/>
        </w:trPr>
        <w:tc>
          <w:tcPr>
            <w:tcW w:type="dxa" w:w="1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Lot</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Objectif</w:t>
            </w:r>
          </w:p>
        </w:tc>
        <w:tc>
          <w:tcPr>
            <w:tcW w:type="dxa" w:w="3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Artefacts attendus</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Résultat</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Unitaires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Règles, validations et erreurs</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coverage et logs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Intégration</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Contrats, services, indexer et stockage</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Versions, fixtures et traces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End-to-end</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Cycle complet et Proof Certificate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Scénarios, captures et exports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Adversarial</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Entrées hostiles et faux positifs</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Corpus, seeds et classification</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Idempotence</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Rejeux, doublons et concurrence</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Journaux et état final</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Reorg / finalité</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Blocs instables et rollback</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Fixtures, confirmations et reprise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Persistance</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Crash, redémarrage et corruption</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Checkpoint, restore et cohérence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Opérateur</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 par un tiers</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Grille, durée et écarts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bl>
    <w:p>
      <w:pPr>
        <w:spacing w:after="40"/>
      </w:pPr>
    </w:p>
    <w:p>
      <w:pPr>
        <w:pStyle w:val="Heading2"/>
      </w:pPr>
      <w:r>
        <w:t>Fiche de run final</w:t>
      </w:r>
    </w:p>
    <w:tbl>
      <w:tblPr>
        <w:tblStyle w:val="TableGrid"/>
        <w:tblW w:type="dxa" w:w="9500"/>
        <w:jc w:val="left"/>
        <w:tblLayout w:type="fixed"/>
        <w:tblLook w:firstColumn="1" w:firstRow="1" w:lastColumn="0" w:lastRow="0" w:noHBand="0" w:noVBand="1" w:val="04A0"/>
        <w:tblInd w:w="120" w:type="dxa"/>
      </w:tblPr>
      <w:tblGrid>
        <w:gridCol w:w="3200"/>
        <w:gridCol w:w="6300"/>
      </w:tblGrid>
      <w:tr>
        <w:trPr>
          <w:tblHeader w:val="true"/>
          <w:cantSplit/>
        </w:trPr>
        <w:tc>
          <w:tcPr>
            <w:tcW w:type="dxa" w:w="3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Champ</w:t>
            </w:r>
          </w:p>
        </w:tc>
        <w:tc>
          <w:tcPr>
            <w:tcW w:type="dxa" w:w="6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Valeur</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Candidate / commit</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Commande racine</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Environnement</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Début / fin</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Lots réussis / échoués / ignorés</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Empreinte du rapport</w:t>
            </w:r>
          </w:p>
        </w:tc>
        <w:tc>
          <w:tcPr>
            <w:tcW w:type="dxa" w:w="6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r>
        <w:trPr>
          <w:cantSplit/>
        </w:trPr>
        <w:tc>
          <w:tcPr>
            <w:tcW w:type="dxa" w:w="3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Relecteur</w:t>
            </w:r>
          </w:p>
        </w:tc>
        <w:tc>
          <w:tcPr>
            <w:tcW w:type="dxa" w:w="6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À RENSEIGNER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INTERDICTION</w:t>
        <w:br/>
      </w:r>
      <w:r>
        <w:rPr>
          <w:rFonts w:ascii="Arial" w:hAnsi="Arial" w:eastAsia="Arial"/>
          <w:b w:val="0"/>
          <w:color w:val="162019"/>
          <w:sz w:val="20"/>
        </w:rPr>
        <w:t>Ne pas reporter un nombre de tests, un taux de coverage ou un résultat PASS sans rapport brut rattaché à la candidate.</w:t>
      </w:r>
    </w:p>
    <w:p>
      <w:pPr>
        <w:keepNext/>
        <w:spacing w:before="440" w:after="100"/>
      </w:pPr>
      <w:r>
        <w:rPr>
          <w:rFonts w:ascii="Arial" w:hAnsi="Arial" w:eastAsia="Arial"/>
          <w:b/>
          <w:color w:val="C6A15B"/>
          <w:sz w:val="16"/>
        </w:rPr>
        <w:t>CHAPITRE 06</w:t>
      </w:r>
    </w:p>
    <w:p>
      <w:pPr>
        <w:pStyle w:val="Heading1"/>
        <w:pageBreakBefore w:val="0"/>
      </w:pPr>
      <w:r>
        <w:t>Sécurité et risques résiduels</w:t>
      </w:r>
    </w:p>
    <w:p>
      <w:pPr>
        <w:pStyle w:val="Heading2"/>
      </w:pPr>
      <w:r>
        <w:t>Gates de sécurité</w:t>
      </w:r>
    </w:p>
    <w:tbl>
      <w:tblPr>
        <w:tblStyle w:val="TableGrid"/>
        <w:tblW w:type="dxa" w:w="9500"/>
        <w:jc w:val="left"/>
        <w:tblLayout w:type="fixed"/>
        <w:tblLook w:firstColumn="1" w:firstRow="1" w:lastColumn="0" w:lastRow="0" w:noHBand="0" w:noVBand="1" w:val="04A0"/>
        <w:tblInd w:w="120" w:type="dxa"/>
      </w:tblPr>
      <w:tblGrid>
        <w:gridCol w:w="1900"/>
        <w:gridCol w:w="3300"/>
        <w:gridCol w:w="2800"/>
        <w:gridCol w:w="15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Domaine</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Contrôle RC</w:t>
            </w:r>
          </w:p>
        </w:tc>
        <w:tc>
          <w:tcPr>
            <w:tcW w:type="dxa" w:w="28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Rôles minimaux, révocation et séparation</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Configuration et tests négatifs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Signatures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Domaine, nonce, expiration et anti-rejeu</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Vecteurs et résultats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Preuves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Provenance, intégrité et trust domains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Schémas, signatures et corpus</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Résultat</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Fail closed et raisons explicables</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Scénarios négatifs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Secrets</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Absence dans dépôt, logs et artefacts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Scan et revue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Dépendances</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Inventaire et vulnérabilités qualifiées</w:t>
            </w:r>
          </w:p>
        </w:tc>
        <w:tc>
          <w:tcPr>
            <w:tcW w:type="dxa" w:w="28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SBOM, audit et exceptions</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Upgrade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Autorité, délais et rollback documentés</w:t>
            </w:r>
          </w:p>
        </w:tc>
        <w:tc>
          <w:tcPr>
            <w:tcW w:type="dxa" w:w="28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Rôles, scripts et test</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bl>
    <w:p>
      <w:pPr>
        <w:spacing w:after="40"/>
      </w:pPr>
    </w:p>
    <w:p>
      <w:pPr>
        <w:pStyle w:val="Heading2"/>
      </w:pPr>
      <w:r>
        <w:t>Registre de findings</w:t>
      </w:r>
    </w:p>
    <w:tbl>
      <w:tblPr>
        <w:tblStyle w:val="TableGrid"/>
        <w:tblW w:type="dxa" w:w="9500"/>
        <w:jc w:val="left"/>
        <w:tblLayout w:type="fixed"/>
        <w:tblLook w:firstColumn="1" w:firstRow="1" w:lastColumn="0" w:lastRow="0" w:noHBand="0" w:noVBand="1" w:val="04A0"/>
        <w:tblInd w:w="120" w:type="dxa"/>
      </w:tblPr>
      <w:tblGrid>
        <w:gridCol w:w="2400"/>
        <w:gridCol w:w="2200"/>
        <w:gridCol w:w="2400"/>
        <w:gridCol w:w="2500"/>
      </w:tblGrid>
      <w:tr>
        <w:trPr>
          <w:tblHeader w:val="true"/>
          <w:cantSplit/>
        </w:trPr>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Sévérité</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Nombre ouvert</w:t>
            </w:r>
          </w:p>
        </w:tc>
        <w:tc>
          <w:tcPr>
            <w:tcW w:type="dxa" w:w="2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Nombre accepté</w:t>
            </w:r>
          </w:p>
        </w:tc>
        <w:tc>
          <w:tcPr>
            <w:tcW w:type="dxa" w:w="2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Référence</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Critical</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High</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Medium</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r>
        <w:trPr>
          <w:cantSplit/>
        </w:trPr>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Low / Info</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2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ANNEXER</w:t>
            </w:r>
          </w:p>
        </w:tc>
      </w:tr>
    </w:tbl>
    <w:p>
      <w:pPr>
        <w:spacing w:after="40"/>
      </w:pPr>
    </w:p>
    <w:p>
      <w:pPr>
        <w:pStyle w:val="Heading2"/>
      </w:pPr>
      <w:r>
        <w:t>Réserves de sécurité</w:t>
      </w:r>
    </w:p>
    <w:p>
      <w:pPr>
        <w:numPr>
          <w:ilvl w:val="0"/>
          <w:numId w:val="19"/>
        </w:numPr>
        <w:spacing w:after="80" w:line="283" w:lineRule="auto"/>
      </w:pPr>
      <w:r>
        <w:rPr>
          <w:rFonts w:ascii="Arial" w:hAnsi="Arial" w:eastAsia="Arial"/>
          <w:color w:val="162019"/>
          <w:sz w:val="20"/>
        </w:rPr>
        <w:t>l’absence de finding connu ne prouve pas l’absence de vulnérabilité ;</w:t>
      </w:r>
    </w:p>
    <w:p>
      <w:pPr>
        <w:numPr>
          <w:ilvl w:val="0"/>
          <w:numId w:val="19"/>
        </w:numPr>
        <w:spacing w:after="80" w:line="283" w:lineRule="auto"/>
      </w:pPr>
      <w:r>
        <w:rPr>
          <w:rFonts w:ascii="Arial" w:hAnsi="Arial" w:eastAsia="Arial"/>
          <w:color w:val="162019"/>
          <w:sz w:val="20"/>
        </w:rPr>
        <w:t>la Phase 3B est une validation interne bornée, pas un audit indépendant ;</w:t>
      </w:r>
    </w:p>
    <w:p>
      <w:pPr>
        <w:numPr>
          <w:ilvl w:val="0"/>
          <w:numId w:val="19"/>
        </w:numPr>
        <w:spacing w:after="80" w:line="283" w:lineRule="auto"/>
      </w:pPr>
      <w:r>
        <w:rPr>
          <w:rFonts w:ascii="Arial" w:hAnsi="Arial" w:eastAsia="Arial"/>
          <w:color w:val="162019"/>
          <w:sz w:val="20"/>
        </w:rPr>
        <w:t>les composants hors périmètre doivent être listés et interdits en exploitation ;</w:t>
      </w:r>
    </w:p>
    <w:p>
      <w:pPr>
        <w:numPr>
          <w:ilvl w:val="0"/>
          <w:numId w:val="19"/>
        </w:numPr>
        <w:spacing w:after="80" w:line="283" w:lineRule="auto"/>
      </w:pPr>
      <w:r>
        <w:rPr>
          <w:rFonts w:ascii="Arial" w:hAnsi="Arial" w:eastAsia="Arial"/>
          <w:color w:val="162019"/>
          <w:sz w:val="20"/>
        </w:rPr>
        <w:t>tout risque accepté doit avoir un propriétaire, une justification et une date de réexamen.</w:t>
      </w:r>
    </w:p>
    <w:p>
      <w:r>
        <w:br w:type="page"/>
      </w:r>
    </w:p>
    <w:p>
      <w:pPr>
        <w:keepNext/>
        <w:spacing w:before="440" w:after="100"/>
      </w:pPr>
      <w:r>
        <w:rPr>
          <w:rFonts w:ascii="Arial" w:hAnsi="Arial" w:eastAsia="Arial"/>
          <w:b/>
          <w:color w:val="C6A15B"/>
          <w:sz w:val="16"/>
        </w:rPr>
        <w:t>CHAPITRE 07</w:t>
      </w:r>
    </w:p>
    <w:p>
      <w:pPr>
        <w:pStyle w:val="Heading1"/>
        <w:pageBreakBefore w:val="0"/>
      </w:pPr>
      <w:r>
        <w:t>Preuves Base Sepolia</w:t>
      </w:r>
    </w:p>
    <w:p>
      <w:pPr>
        <w:keepNext/>
        <w:spacing w:after="320"/>
      </w:pPr>
      <w:r>
        <w:rPr>
          <w:rFonts w:ascii="Arial" w:hAnsi="Arial" w:eastAsia="Arial"/>
          <w:i/>
          <w:color w:val="66736B"/>
          <w:sz w:val="25"/>
        </w:rPr>
        <w:t>Base Sepolia — chain ID 84532 — reste un environnement de test, pas une preuve de production.</w:t>
      </w:r>
    </w:p>
    <w:p>
      <w:pPr>
        <w:pStyle w:val="Heading2"/>
      </w:pPr>
      <w:r>
        <w:t>Registre de déploiement</w:t>
      </w:r>
    </w:p>
    <w:tbl>
      <w:tblPr>
        <w:tblStyle w:val="TableGrid"/>
        <w:tblW w:type="dxa" w:w="9500"/>
        <w:jc w:val="left"/>
        <w:tblLayout w:type="fixed"/>
        <w:tblLook w:firstColumn="1" w:firstRow="1" w:lastColumn="0" w:lastRow="0" w:noHBand="0" w:noVBand="1" w:val="04A0"/>
        <w:tblInd w:w="120" w:type="dxa"/>
      </w:tblPr>
      <w:tblGrid>
        <w:gridCol w:w="1900"/>
        <w:gridCol w:w="2000"/>
        <w:gridCol w:w="2300"/>
        <w:gridCol w:w="2200"/>
        <w:gridCol w:w="11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Composant</w:t>
            </w:r>
          </w:p>
        </w:tc>
        <w:tc>
          <w:tcPr>
            <w:tcW w:type="dxa" w:w="20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Adresse / identifiant</w:t>
            </w:r>
          </w:p>
        </w:tc>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Déploiement</w:t>
            </w:r>
          </w:p>
        </w:tc>
        <w:tc>
          <w:tcPr>
            <w:tcW w:type="dxa" w:w="2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Vérification</w:t>
            </w:r>
          </w:p>
        </w:tc>
        <w:tc>
          <w:tcPr>
            <w:tcW w:type="dxa" w:w="1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Contrat principal</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Tx / bloc 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Bytecode et source</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Registry / policy</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Tx / bloc 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Bytecode et rôles</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Collecteur(s)</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Configuration 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Clés et trust domains</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Indexer</w:t>
            </w:r>
          </w:p>
        </w:tc>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Version à renseigner</w:t>
            </w:r>
          </w:p>
        </w:tc>
        <w:tc>
          <w:tcPr>
            <w:tcW w:type="dxa" w:w="2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Checkpoint et reprise</w:t>
            </w:r>
          </w:p>
        </w:tc>
        <w:tc>
          <w:tcPr>
            <w:tcW w:type="dxa" w:w="1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Proof service</w:t>
            </w:r>
          </w:p>
        </w:tc>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À RENSEIGNER</w:t>
            </w:r>
          </w:p>
        </w:tc>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Version à renseigner</w:t>
            </w:r>
          </w:p>
        </w:tc>
        <w:tc>
          <w:tcPr>
            <w:tcW w:type="dxa" w:w="2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Schéma et signatures</w:t>
            </w:r>
          </w:p>
        </w:tc>
        <w:tc>
          <w:tcPr>
            <w:tcW w:type="dxa" w:w="1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3"/>
              </w:rPr>
              <w:t>OUVERT</w:t>
            </w:r>
          </w:p>
        </w:tc>
      </w:tr>
    </w:tbl>
    <w:p>
      <w:pPr>
        <w:spacing w:after="40"/>
      </w:pPr>
    </w:p>
    <w:p>
      <w:pPr>
        <w:pStyle w:val="Heading2"/>
      </w:pPr>
      <w:r>
        <w:t>Éléments obligatoires</w:t>
      </w:r>
    </w:p>
    <w:p>
      <w:pPr>
        <w:numPr>
          <w:ilvl w:val="0"/>
          <w:numId w:val="20"/>
        </w:numPr>
        <w:spacing w:after="80" w:line="283" w:lineRule="auto"/>
      </w:pPr>
      <w:r>
        <w:rPr>
          <w:rFonts w:ascii="Arial" w:hAnsi="Arial" w:eastAsia="Arial"/>
          <w:color w:val="162019"/>
          <w:sz w:val="20"/>
        </w:rPr>
        <w:t>RPC et politique de finalité utilisés pendant le run ;</w:t>
      </w:r>
    </w:p>
    <w:p>
      <w:pPr>
        <w:numPr>
          <w:ilvl w:val="0"/>
          <w:numId w:val="20"/>
        </w:numPr>
        <w:spacing w:after="80" w:line="283" w:lineRule="auto"/>
      </w:pPr>
      <w:r>
        <w:rPr>
          <w:rFonts w:ascii="Arial" w:hAnsi="Arial" w:eastAsia="Arial"/>
          <w:color w:val="162019"/>
          <w:sz w:val="20"/>
        </w:rPr>
        <w:t>adresses, transactions de déploiement, blocs et horodatages ;</w:t>
      </w:r>
    </w:p>
    <w:p>
      <w:pPr>
        <w:numPr>
          <w:ilvl w:val="0"/>
          <w:numId w:val="20"/>
        </w:numPr>
        <w:spacing w:after="80" w:line="283" w:lineRule="auto"/>
      </w:pPr>
      <w:r>
        <w:rPr>
          <w:rFonts w:ascii="Arial" w:hAnsi="Arial" w:eastAsia="Arial"/>
          <w:color w:val="162019"/>
          <w:sz w:val="20"/>
        </w:rPr>
        <w:t>bytecodes déployés comparés aux artefacts issus du commit RC ;</w:t>
      </w:r>
    </w:p>
    <w:p>
      <w:pPr>
        <w:numPr>
          <w:ilvl w:val="0"/>
          <w:numId w:val="20"/>
        </w:numPr>
        <w:spacing w:after="80" w:line="283" w:lineRule="auto"/>
      </w:pPr>
      <w:r>
        <w:rPr>
          <w:rFonts w:ascii="Arial" w:hAnsi="Arial" w:eastAsia="Arial"/>
          <w:color w:val="162019"/>
          <w:sz w:val="20"/>
        </w:rPr>
        <w:t>rôles administrateurs, propriétaires, pausers et mécanismes d’upgrade ;</w:t>
      </w:r>
    </w:p>
    <w:p>
      <w:pPr>
        <w:numPr>
          <w:ilvl w:val="0"/>
          <w:numId w:val="20"/>
        </w:numPr>
        <w:spacing w:after="80" w:line="283" w:lineRule="auto"/>
      </w:pPr>
      <w:r>
        <w:rPr>
          <w:rFonts w:ascii="Arial" w:hAnsi="Arial" w:eastAsia="Arial"/>
          <w:color w:val="162019"/>
          <w:sz w:val="20"/>
        </w:rPr>
        <w:t>événements des scénarios E2E, confirmations et gestion des reorgs ;</w:t>
      </w:r>
    </w:p>
    <w:p>
      <w:pPr>
        <w:numPr>
          <w:ilvl w:val="0"/>
          <w:numId w:val="20"/>
        </w:numPr>
        <w:spacing w:after="80" w:line="283" w:lineRule="auto"/>
      </w:pPr>
      <w:r>
        <w:rPr>
          <w:rFonts w:ascii="Arial" w:hAnsi="Arial" w:eastAsia="Arial"/>
          <w:color w:val="162019"/>
          <w:sz w:val="20"/>
        </w:rPr>
        <w:t>soldes ou actifs de test explicitement séparés de tout actif réel.</w:t>
      </w:r>
    </w:p>
    <w:p>
      <w:pPr>
        <w:spacing w:before="100" w:after="180" w:line="283" w:lineRule="auto"/>
        <w:ind w:left="227" w:right="170"/>
        <w:shd w:fill="F6F0E3"/>
        <w:pBdr>
          <w:left w:val="single" w:sz="18" w:space="8" w:color="C6A15B"/>
        </w:pBdr>
      </w:pPr>
      <w:r>
        <w:rPr>
          <w:rFonts w:ascii="Arial" w:hAnsi="Arial" w:eastAsia="Arial"/>
          <w:b/>
          <w:color w:val="C6A15B"/>
          <w:sz w:val="16"/>
        </w:rPr>
        <w:t>CONSTAT</w:t>
        <w:br/>
      </w:r>
      <w:r>
        <w:rPr>
          <w:rFonts w:ascii="Arial" w:hAnsi="Arial" w:eastAsia="Arial"/>
          <w:b w:val="0"/>
          <w:color w:val="162019"/>
          <w:sz w:val="20"/>
        </w:rPr>
        <w:t>Le registre Base Sepolia n’est pas complet dans le corpus disponible. Le chain ID 84532, sans les éléments ci-dessus, ne suffit pas à confirmer le déploiement de la candidate.</w:t>
      </w:r>
    </w:p>
    <w:p>
      <w:pPr>
        <w:keepNext/>
        <w:spacing w:before="440" w:after="100"/>
      </w:pPr>
      <w:r>
        <w:rPr>
          <w:rFonts w:ascii="Arial" w:hAnsi="Arial" w:eastAsia="Arial"/>
          <w:b/>
          <w:color w:val="C6A15B"/>
          <w:sz w:val="16"/>
        </w:rPr>
        <w:t>CHAPITRE 08</w:t>
      </w:r>
    </w:p>
    <w:p>
      <w:pPr>
        <w:pStyle w:val="Heading1"/>
        <w:pageBreakBefore w:val="0"/>
      </w:pPr>
      <w:r>
        <w:t>Readiness opérationnelle</w:t>
      </w:r>
    </w:p>
    <w:p>
      <w:pPr>
        <w:pStyle w:val="Heading2"/>
      </w:pPr>
      <w:r>
        <w:t>Contrôles avant revue externe</w:t>
      </w:r>
    </w:p>
    <w:tbl>
      <w:tblPr>
        <w:tblStyle w:val="TableGrid"/>
        <w:tblW w:type="dxa" w:w="9500"/>
        <w:jc w:val="left"/>
        <w:tblLayout w:type="fixed"/>
        <w:tblLook w:firstColumn="1" w:firstRow="1" w:lastColumn="0" w:lastRow="0" w:noHBand="0" w:noVBand="1" w:val="04A0"/>
        <w:tblInd w:w="120" w:type="dxa"/>
      </w:tblPr>
      <w:tblGrid>
        <w:gridCol w:w="1900"/>
        <w:gridCol w:w="3400"/>
        <w:gridCol w:w="2700"/>
        <w:gridCol w:w="1500"/>
      </w:tblGrid>
      <w:tr>
        <w:trPr>
          <w:tblHeader w:val="true"/>
          <w:cantSplit/>
        </w:trPr>
        <w:tc>
          <w:tcPr>
            <w:tcW w:type="dxa" w:w="1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Capacité</w:t>
            </w:r>
          </w:p>
        </w:tc>
        <w:tc>
          <w:tcPr>
            <w:tcW w:type="dxa" w:w="34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Critère</w:t>
            </w:r>
          </w:p>
        </w:tc>
        <w:tc>
          <w:tcPr>
            <w:tcW w:type="dxa" w:w="2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Preuve</w:t>
            </w:r>
          </w:p>
        </w:tc>
        <w:tc>
          <w:tcPr>
            <w:tcW w:type="dxa" w:w="1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Installation</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Déploiement reproductible depuis zéro</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 et second opérateur</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Observation</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Logs, métriques, alertes et corrélation</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Tableau de bord et tests d’alerte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Incident</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Tri, escalade et communication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 et exercice</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Reprise</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RTO/RPO internes définis et testés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Exercice horodaté</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Rollback</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Retour à l’état sûr sans perte silencieuse</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 et décision</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Clés</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Création, rotation, révocation et secours</w:t>
            </w:r>
          </w:p>
        </w:tc>
        <w:tc>
          <w:tcPr>
            <w:tcW w:type="dxa" w:w="2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Procédure et registre</w:t>
            </w:r>
          </w:p>
        </w:tc>
        <w:tc>
          <w:tcPr>
            <w:tcW w:type="dxa" w:w="1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r>
        <w:trPr>
          <w:cantSplit/>
        </w:trPr>
        <w:tc>
          <w:tcPr>
            <w:tcW w:type="dxa" w:w="1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Données</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Rétention, minimisation et suppression</w:t>
            </w:r>
          </w:p>
        </w:tc>
        <w:tc>
          <w:tcPr>
            <w:tcW w:type="dxa" w:w="2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Politique et test</w:t>
            </w:r>
          </w:p>
        </w:tc>
        <w:tc>
          <w:tcPr>
            <w:tcW w:type="dxa" w:w="1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PROUVER</w:t>
            </w:r>
          </w:p>
        </w:tc>
      </w:tr>
    </w:tbl>
    <w:p>
      <w:pPr>
        <w:spacing w:after="40"/>
      </w:pPr>
    </w:p>
    <w:p>
      <w:pPr>
        <w:pStyle w:val="Heading2"/>
      </w:pPr>
      <w:r>
        <w:t>Stop conditions</w:t>
      </w:r>
    </w:p>
    <w:p>
      <w:pPr>
        <w:numPr>
          <w:ilvl w:val="0"/>
          <w:numId w:val="21"/>
        </w:numPr>
        <w:spacing w:after="80" w:line="283" w:lineRule="auto"/>
      </w:pPr>
      <w:r>
        <w:rPr>
          <w:rFonts w:ascii="Arial" w:hAnsi="Arial" w:eastAsia="Arial"/>
          <w:color w:val="162019"/>
          <w:sz w:val="20"/>
        </w:rPr>
        <w:t>incapacité à reproduire le build ou à identifier le commit exécuté ;</w:t>
      </w:r>
    </w:p>
    <w:p>
      <w:pPr>
        <w:numPr>
          <w:ilvl w:val="0"/>
          <w:numId w:val="21"/>
        </w:numPr>
        <w:spacing w:after="80" w:line="283" w:lineRule="auto"/>
      </w:pPr>
      <w:r>
        <w:rPr>
          <w:rFonts w:ascii="Arial" w:hAnsi="Arial" w:eastAsia="Arial"/>
          <w:color w:val="162019"/>
          <w:sz w:val="20"/>
        </w:rPr>
        <w:t>faux PROVIDER_FAULT ou décision terminale non explicable ;</w:t>
      </w:r>
    </w:p>
    <w:p>
      <w:pPr>
        <w:numPr>
          <w:ilvl w:val="0"/>
          <w:numId w:val="21"/>
        </w:numPr>
        <w:spacing w:after="80" w:line="283" w:lineRule="auto"/>
      </w:pPr>
      <w:r>
        <w:rPr>
          <w:rFonts w:ascii="Arial" w:hAnsi="Arial" w:eastAsia="Arial"/>
          <w:color w:val="162019"/>
          <w:sz w:val="20"/>
        </w:rPr>
        <w:t>perte d’état, double conséquence ou échec de reprise ;</w:t>
      </w:r>
    </w:p>
    <w:p>
      <w:pPr>
        <w:numPr>
          <w:ilvl w:val="0"/>
          <w:numId w:val="21"/>
        </w:numPr>
        <w:spacing w:after="80" w:line="283" w:lineRule="auto"/>
      </w:pPr>
      <w:r>
        <w:rPr>
          <w:rFonts w:ascii="Arial" w:hAnsi="Arial" w:eastAsia="Arial"/>
          <w:color w:val="162019"/>
          <w:sz w:val="20"/>
        </w:rPr>
        <w:t>rôle privilégié non attribué, non révocable ou non auditable ;</w:t>
      </w:r>
    </w:p>
    <w:p>
      <w:pPr>
        <w:numPr>
          <w:ilvl w:val="0"/>
          <w:numId w:val="21"/>
        </w:numPr>
        <w:spacing w:after="80" w:line="283" w:lineRule="auto"/>
      </w:pPr>
      <w:r>
        <w:rPr>
          <w:rFonts w:ascii="Arial" w:hAnsi="Arial" w:eastAsia="Arial"/>
          <w:color w:val="162019"/>
          <w:sz w:val="20"/>
        </w:rPr>
        <w:t>écart entre bytecode déployé et artefact de la candidate ;</w:t>
      </w:r>
    </w:p>
    <w:p>
      <w:pPr>
        <w:numPr>
          <w:ilvl w:val="0"/>
          <w:numId w:val="21"/>
        </w:numPr>
        <w:spacing w:after="80" w:line="283" w:lineRule="auto"/>
      </w:pPr>
      <w:r>
        <w:rPr>
          <w:rFonts w:ascii="Arial" w:hAnsi="Arial" w:eastAsia="Arial"/>
          <w:color w:val="162019"/>
          <w:sz w:val="20"/>
        </w:rPr>
        <w:t>absence de procédure opérateur utilisable par une personne tierce.</w:t>
      </w:r>
    </w:p>
    <w:p>
      <w:pPr>
        <w:spacing w:before="100" w:after="180" w:line="283" w:lineRule="auto"/>
        <w:ind w:left="227" w:right="170"/>
        <w:shd w:fill="EDF3EF"/>
        <w:pBdr>
          <w:left w:val="single" w:sz="18" w:space="8" w:color="155A3E"/>
        </w:pBdr>
      </w:pPr>
      <w:r>
        <w:rPr>
          <w:rFonts w:ascii="Arial" w:hAnsi="Arial" w:eastAsia="Arial"/>
          <w:b/>
          <w:color w:val="155A3E"/>
          <w:sz w:val="16"/>
        </w:rPr>
        <w:t>PORTÉE</w:t>
        <w:br/>
      </w:r>
      <w:r>
        <w:rPr>
          <w:rFonts w:ascii="Arial" w:hAnsi="Arial" w:eastAsia="Arial"/>
          <w:b w:val="0"/>
          <w:color w:val="162019"/>
          <w:sz w:val="20"/>
        </w:rPr>
        <w:t>La readiness opérationnelle de testnet ne vaut pas readiness de production. Les seuils, la disponibilité, la responsabilité et le support restent à définir avant tout pilote externe.</w:t>
      </w:r>
    </w:p>
    <w:p>
      <w:pPr>
        <w:pStyle w:val="Heading2"/>
      </w:pPr>
      <w:r>
        <w:t>Niveaux de readiness</w:t>
      </w:r>
    </w:p>
    <w:tbl>
      <w:tblPr>
        <w:tblStyle w:val="TableGrid"/>
        <w:tblW w:type="dxa" w:w="9500"/>
        <w:jc w:val="left"/>
        <w:tblLayout w:type="fixed"/>
        <w:tblLook w:firstColumn="1" w:firstRow="1" w:lastColumn="0" w:lastRow="0" w:noHBand="0" w:noVBand="1" w:val="04A0"/>
        <w:tblInd w:w="120" w:type="dxa"/>
      </w:tblPr>
      <w:tblGrid>
        <w:gridCol w:w="2000"/>
        <w:gridCol w:w="3300"/>
        <w:gridCol w:w="4200"/>
      </w:tblGrid>
      <w:tr>
        <w:trPr>
          <w:tblHeader w:val="true"/>
          <w:cantSplit/>
        </w:trPr>
        <w:tc>
          <w:tcPr>
            <w:tcW w:type="dxa" w:w="20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Niveau</w:t>
            </w:r>
          </w:p>
        </w:tc>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Autorise</w:t>
            </w:r>
          </w:p>
        </w:tc>
        <w:tc>
          <w:tcPr>
            <w:tcW w:type="dxa" w:w="42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Condition minimale</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Testnet interne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Tests et démonstrations contrôlées</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Environnement isolé, actifs de test et procédures de reprise</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Revue indépendante</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Accès borné aux sources et preuves</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Candidate figée, dossier complet et périmètre signé</w:t>
            </w:r>
          </w:p>
        </w:tc>
      </w:tr>
      <w:tr>
        <w:trPr>
          <w:cantSplit/>
        </w:trPr>
        <w:tc>
          <w:tcPr>
            <w:tcW w:type="dxa" w:w="20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Pilote externe</w:t>
            </w:r>
          </w:p>
        </w:tc>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Workflow réel sans fonds significatifs</w:t>
            </w:r>
          </w:p>
        </w:tc>
        <w:tc>
          <w:tcPr>
            <w:tcW w:type="dxa" w:w="4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Audit/revue, contrat pilote, support et stop conditions</w:t>
            </w:r>
          </w:p>
        </w:tc>
      </w:tr>
      <w:tr>
        <w:trPr>
          <w:cantSplit/>
        </w:trPr>
        <w:tc>
          <w:tcPr>
            <w:tcW w:type="dxa" w:w="20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Production</w:t>
            </w:r>
          </w:p>
        </w:tc>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Service contractuel et exposition réelle</w:t>
            </w:r>
          </w:p>
        </w:tc>
        <w:tc>
          <w:tcPr>
            <w:tcW w:type="dxa" w:w="4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séparée ; sécurité, droit, opérations et marché validés</w:t>
            </w:r>
          </w:p>
        </w:tc>
      </w:tr>
    </w:tbl>
    <w:p>
      <w:pPr>
        <w:spacing w:after="40"/>
      </w:pPr>
    </w:p>
    <w:p>
      <w:r>
        <w:br w:type="page"/>
      </w:r>
    </w:p>
    <w:p>
      <w:pPr>
        <w:keepNext/>
        <w:spacing w:before="440" w:after="100"/>
      </w:pPr>
      <w:r>
        <w:rPr>
          <w:rFonts w:ascii="Arial" w:hAnsi="Arial" w:eastAsia="Arial"/>
          <w:b/>
          <w:color w:val="C6A15B"/>
          <w:sz w:val="16"/>
        </w:rPr>
        <w:t>CHAPITRE 09</w:t>
      </w:r>
    </w:p>
    <w:p>
      <w:pPr>
        <w:pStyle w:val="Heading1"/>
        <w:pageBreakBefore w:val="0"/>
      </w:pPr>
      <w:r>
        <w:t>Limites produit, juridiques et économiques</w:t>
      </w:r>
    </w:p>
    <w:p>
      <w:pPr>
        <w:pStyle w:val="Heading2"/>
      </w:pPr>
      <w:r>
        <w:t>État des validations non techniques</w:t>
      </w:r>
    </w:p>
    <w:tbl>
      <w:tblPr>
        <w:tblStyle w:val="TableGrid"/>
        <w:tblW w:type="dxa" w:w="9500"/>
        <w:jc w:val="left"/>
        <w:tblLayout w:type="fixed"/>
        <w:tblLook w:firstColumn="1" w:firstRow="1" w:lastColumn="0" w:lastRow="0" w:noHBand="0" w:noVBand="1" w:val="04A0"/>
        <w:tblInd w:w="120" w:type="dxa"/>
      </w:tblPr>
      <w:tblGrid>
        <w:gridCol w:w="2100"/>
        <w:gridCol w:w="2900"/>
        <w:gridCol w:w="4500"/>
      </w:tblGrid>
      <w:tr>
        <w:trPr>
          <w:tblHeader w:val="true"/>
          <w:cantSplit/>
        </w:trPr>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Axe</w:t>
            </w:r>
          </w:p>
        </w:tc>
        <w:tc>
          <w:tcPr>
            <w:tcW w:type="dxa" w:w="29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c>
          <w:tcPr>
            <w:tcW w:type="dxa" w:w="45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Conséquence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Besoin marché</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validé</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 pas investir dans une généralisation avant discovery réelle</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Pilote client</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réalisé ou non prouvé</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Ne pas revendiquer une traction externe</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Prix / budget</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validé</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preuve de volonté de payer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Responsabilité</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qualifier</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Plafonds, recours et exclusions à définir</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Données personnelles</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qualifier</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Minimisation, rôles et rétention à formaliser</w:t>
            </w:r>
          </w:p>
        </w:tc>
      </w:tr>
      <w:tr>
        <w:trPr>
          <w:cantSplit/>
        </w:trPr>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MiCA / token</w:t>
            </w:r>
          </w:p>
        </w:tc>
        <w:tc>
          <w:tcPr>
            <w:tcW w:type="dxa" w:w="29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Qualification à conduire avant toute offre ou fonction économique</w:t>
            </w:r>
          </w:p>
        </w:tc>
        <w:tc>
          <w:tcPr>
            <w:tcW w:type="dxa" w:w="45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Tokenless par défaut</w:t>
            </w:r>
          </w:p>
        </w:tc>
      </w:tr>
      <w:tr>
        <w:trPr>
          <w:cantSplit/>
        </w:trPr>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Audit indépendant</w:t>
            </w:r>
          </w:p>
        </w:tc>
        <w:tc>
          <w:tcPr>
            <w:tcW w:type="dxa" w:w="29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Non réalisé</w:t>
            </w:r>
          </w:p>
        </w:tc>
        <w:tc>
          <w:tcPr>
            <w:tcW w:type="dxa" w:w="45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Aucune affirmation de sécurité certifiée</w:t>
            </w:r>
          </w:p>
        </w:tc>
      </w:tr>
    </w:tbl>
    <w:p>
      <w:pPr>
        <w:spacing w:after="40"/>
      </w:pPr>
    </w:p>
    <w:p>
      <w:pPr>
        <w:pStyle w:val="Heading2"/>
      </w:pPr>
      <w:r>
        <w:t>Contraintes économiques maintenues</w:t>
      </w:r>
    </w:p>
    <w:p>
      <w:pPr>
        <w:numPr>
          <w:ilvl w:val="0"/>
          <w:numId w:val="22"/>
        </w:numPr>
        <w:spacing w:after="80" w:line="283" w:lineRule="auto"/>
      </w:pPr>
      <w:r>
        <w:rPr>
          <w:rFonts w:ascii="Arial" w:hAnsi="Arial" w:eastAsia="Arial"/>
          <w:color w:val="162019"/>
          <w:sz w:val="20"/>
        </w:rPr>
        <w:t>supply VERIDIA fixe à 1 000 000 000 ; aucun mint ni inflation ;</w:t>
      </w:r>
    </w:p>
    <w:p>
      <w:pPr>
        <w:numPr>
          <w:ilvl w:val="0"/>
          <w:numId w:val="22"/>
        </w:numPr>
        <w:spacing w:after="80" w:line="283" w:lineRule="auto"/>
      </w:pPr>
      <w:r>
        <w:rPr>
          <w:rFonts w:ascii="Arial" w:hAnsi="Arial" w:eastAsia="Arial"/>
          <w:color w:val="162019"/>
          <w:sz w:val="20"/>
        </w:rPr>
        <w:t>aucun rendement automatique, APY, taxe de transfert ou partage de revenus ;</w:t>
      </w:r>
    </w:p>
    <w:p>
      <w:pPr>
        <w:numPr>
          <w:ilvl w:val="0"/>
          <w:numId w:val="22"/>
        </w:numPr>
        <w:spacing w:after="80" w:line="283" w:lineRule="auto"/>
      </w:pPr>
      <w:r>
        <w:rPr>
          <w:rFonts w:ascii="Arial" w:hAnsi="Arial" w:eastAsia="Arial"/>
          <w:color w:val="162019"/>
          <w:sz w:val="20"/>
        </w:rPr>
        <w:t>aucune promesse de prix, de liquidité ou de soutien de marché ;</w:t>
      </w:r>
    </w:p>
    <w:p>
      <w:pPr>
        <w:numPr>
          <w:ilvl w:val="0"/>
          <w:numId w:val="22"/>
        </w:numPr>
        <w:spacing w:after="80" w:line="283" w:lineRule="auto"/>
      </w:pPr>
      <w:r>
        <w:rPr>
          <w:rFonts w:ascii="Arial" w:hAnsi="Arial" w:eastAsia="Arial"/>
          <w:color w:val="162019"/>
          <w:sz w:val="20"/>
        </w:rPr>
        <w:t>ALPHA doit démontrer sa valeur sans exiger le token ;</w:t>
      </w:r>
    </w:p>
    <w:p>
      <w:pPr>
        <w:numPr>
          <w:ilvl w:val="0"/>
          <w:numId w:val="22"/>
        </w:numPr>
        <w:spacing w:after="80" w:line="283" w:lineRule="auto"/>
      </w:pPr>
      <w:r>
        <w:rPr>
          <w:rFonts w:ascii="Arial" w:hAnsi="Arial" w:eastAsia="Arial"/>
          <w:color w:val="162019"/>
          <w:sz w:val="20"/>
        </w:rPr>
        <w:t>une fonction token n’est considérée qu’après nécessité produit démontrée et qualification juridique.</w:t>
      </w:r>
    </w:p>
    <w:p>
      <w:pPr>
        <w:spacing w:before="100" w:after="180" w:line="283" w:lineRule="auto"/>
        <w:ind w:left="227" w:right="170"/>
        <w:shd w:fill="F6F0E3"/>
        <w:pBdr>
          <w:left w:val="single" w:sz="18" w:space="8" w:color="C6A15B"/>
        </w:pBdr>
      </w:pPr>
      <w:r>
        <w:rPr>
          <w:rFonts w:ascii="Arial" w:hAnsi="Arial" w:eastAsia="Arial"/>
          <w:b/>
          <w:color w:val="C6A15B"/>
          <w:sz w:val="16"/>
        </w:rPr>
        <w:t>DÉCISION RÉGLEMENTAIRE</w:t>
        <w:br/>
      </w:r>
      <w:r>
        <w:rPr>
          <w:rFonts w:ascii="Arial" w:hAnsi="Arial" w:eastAsia="Arial"/>
          <w:b w:val="0"/>
          <w:color w:val="162019"/>
          <w:sz w:val="20"/>
        </w:rPr>
        <w:t>Le jalon RC technique ne rend pas Pacturion « conforme MiCA ». La qualification dépendra des activités, communications, flux et fonctions effectivement retenus avant lancement.</w:t>
      </w:r>
    </w:p>
    <w:p>
      <w:r>
        <w:br w:type="page"/>
      </w:r>
    </w:p>
    <w:p>
      <w:pPr>
        <w:keepNext/>
        <w:spacing w:before="440" w:after="100"/>
      </w:pPr>
      <w:r>
        <w:rPr>
          <w:rFonts w:ascii="Arial" w:hAnsi="Arial" w:eastAsia="Arial"/>
          <w:b/>
          <w:color w:val="C6A15B"/>
          <w:sz w:val="16"/>
        </w:rPr>
        <w:t>CHAPITRE 10</w:t>
      </w:r>
    </w:p>
    <w:p>
      <w:pPr>
        <w:pStyle w:val="Heading1"/>
        <w:pageBreakBefore w:val="0"/>
      </w:pPr>
      <w:r>
        <w:t>Décision, annexes et visas</w:t>
      </w:r>
    </w:p>
    <w:p>
      <w:pPr>
        <w:pStyle w:val="Heading2"/>
      </w:pPr>
      <w:r>
        <w:t>Décision actuelle</w:t>
      </w:r>
    </w:p>
    <w:tbl>
      <w:tblPr>
        <w:tblStyle w:val="TableGrid"/>
        <w:tblW w:type="dxa" w:w="9500"/>
        <w:jc w:val="left"/>
        <w:tblLayout w:type="fixed"/>
        <w:tblLook w:firstColumn="1" w:firstRow="1" w:lastColumn="0" w:lastRow="0" w:noHBand="0" w:noVBand="1" w:val="04A0"/>
        <w:tblInd w:w="120" w:type="dxa"/>
      </w:tblPr>
      <w:tblGrid>
        <w:gridCol w:w="3300"/>
        <w:gridCol w:w="6200"/>
      </w:tblGrid>
      <w:tr>
        <w:trPr>
          <w:tblHeader w:val="true"/>
          <w:cantSplit/>
        </w:trPr>
        <w:tc>
          <w:tcPr>
            <w:tcW w:type="dxa" w:w="3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Élément</w:t>
            </w:r>
          </w:p>
        </w:tc>
        <w:tc>
          <w:tcPr>
            <w:tcW w:type="dxa" w:w="62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Décision</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Statut déclaré</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RELEASE CANDIDATE — PASS DÉCLARÉ PAR LE PORTEUR</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Statut documentaire</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DRAFT CONTRÔLÉ — PREUVES ESSENTIELLES À ANNEXER</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Audit / revue indépendante</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PRÉPARATION AUTORISÉE ; CONCLUSION NON PRÉJUGÉE</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Pilote externe</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 PAR CE RAPPORT</w:t>
            </w:r>
          </w:p>
        </w:tc>
      </w:tr>
      <w:tr>
        <w:trPr>
          <w:cantSplit/>
        </w:trPr>
        <w:tc>
          <w:tcPr>
            <w:tcW w:type="dxa" w:w="3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Mainnet / fonds réels</w:t>
            </w:r>
          </w:p>
        </w:tc>
        <w:tc>
          <w:tcPr>
            <w:tcW w:type="dxa" w:w="62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AUTORISÉS</w:t>
            </w:r>
          </w:p>
        </w:tc>
      </w:tr>
      <w:tr>
        <w:trPr>
          <w:cantSplit/>
        </w:trPr>
        <w:tc>
          <w:tcPr>
            <w:tcW w:type="dxa" w:w="3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Distribution / fonction token</w:t>
            </w:r>
          </w:p>
        </w:tc>
        <w:tc>
          <w:tcPr>
            <w:tcW w:type="dxa" w:w="62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6"/>
              </w:rPr>
              <w:t>NON AUTORISÉE</w:t>
            </w:r>
          </w:p>
        </w:tc>
      </w:tr>
    </w:tbl>
    <w:p>
      <w:pPr>
        <w:spacing w:after="40"/>
      </w:pPr>
    </w:p>
    <w:p>
      <w:pPr>
        <w:pStyle w:val="Heading2"/>
      </w:pPr>
      <w:r>
        <w:t>Index des annexes</w:t>
      </w:r>
    </w:p>
    <w:tbl>
      <w:tblPr>
        <w:tblStyle w:val="TableGrid"/>
        <w:tblW w:type="dxa" w:w="9500"/>
        <w:jc w:val="left"/>
        <w:tblLayout w:type="fixed"/>
        <w:tblLook w:firstColumn="1" w:firstRow="1" w:lastColumn="0" w:lastRow="0" w:noHBand="0" w:noVBand="1" w:val="04A0"/>
        <w:tblInd w:w="120" w:type="dxa"/>
      </w:tblPr>
      <w:tblGrid>
        <w:gridCol w:w="1300"/>
        <w:gridCol w:w="6100"/>
        <w:gridCol w:w="2100"/>
      </w:tblGrid>
      <w:tr>
        <w:trPr>
          <w:tblHeader w:val="true"/>
          <w:cantSplit/>
        </w:trPr>
        <w:tc>
          <w:tcPr>
            <w:tcW w:type="dxa" w:w="1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Réf.</w:t>
            </w:r>
          </w:p>
        </w:tc>
        <w:tc>
          <w:tcPr>
            <w:tcW w:type="dxa" w:w="6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Pièce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État</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RC-A01</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Tag, commit, manifest, artefacts et checksums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RC-A02</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Rapport Phase 3.E consolidé et visa</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RC-A03</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 final complet et résultats bruts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RC-A04</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Corpus adversarial et analyse des faux PROVIDER_FAULT</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RC-A05</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findings, corrections, retests et acceptations</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RC-A06</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Démonstration persistance, reprise et rollback</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RC-A07</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Registre Base Sepolia complet</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RC-A08</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Runbooks opérateur, incident, clés et données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RC-A09</w:t>
            </w:r>
          </w:p>
        </w:tc>
        <w:tc>
          <w:tcPr>
            <w:tcW w:type="dxa" w:w="6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Analyse de levée des statuts NO / bloqué</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ANNEXER</w:t>
            </w:r>
          </w:p>
        </w:tc>
      </w:tr>
      <w:tr>
        <w:trPr>
          <w:cantSplit/>
        </w:trPr>
        <w:tc>
          <w:tcPr>
            <w:tcW w:type="dxa" w:w="1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RC-A10</w:t>
            </w:r>
          </w:p>
        </w:tc>
        <w:tc>
          <w:tcPr>
            <w:tcW w:type="dxa" w:w="6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Décision de gate, réserves et risques acceptés</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4"/>
              </w:rPr>
              <w:t>À SIGNER</w:t>
            </w:r>
          </w:p>
        </w:tc>
      </w:tr>
    </w:tbl>
    <w:p>
      <w:pPr>
        <w:spacing w:after="40"/>
      </w:pPr>
    </w:p>
    <w:p>
      <w:pPr>
        <w:pStyle w:val="Heading2"/>
      </w:pPr>
      <w:r>
        <w:t>Visas</w:t>
      </w:r>
    </w:p>
    <w:tbl>
      <w:tblPr>
        <w:tblStyle w:val="TableGrid"/>
        <w:tblW w:type="dxa" w:w="9500"/>
        <w:jc w:val="left"/>
        <w:tblLayout w:type="fixed"/>
        <w:tblLook w:firstColumn="1" w:firstRow="1" w:lastColumn="0" w:lastRow="0" w:noHBand="0" w:noVBand="1" w:val="04A0"/>
        <w:tblInd w:w="120" w:type="dxa"/>
      </w:tblPr>
      <w:tblGrid>
        <w:gridCol w:w="2300"/>
        <w:gridCol w:w="2100"/>
        <w:gridCol w:w="3400"/>
        <w:gridCol w:w="1700"/>
      </w:tblGrid>
      <w:tr>
        <w:trPr>
          <w:tblHeader w:val="true"/>
          <w:cantSplit/>
        </w:trPr>
        <w:tc>
          <w:tcPr>
            <w:tcW w:type="dxa" w:w="23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Rôle</w:t>
            </w:r>
          </w:p>
        </w:tc>
        <w:tc>
          <w:tcPr>
            <w:tcW w:type="dxa" w:w="21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Nom</w:t>
            </w:r>
          </w:p>
        </w:tc>
        <w:tc>
          <w:tcPr>
            <w:tcW w:type="dxa" w:w="3400"/>
            <w:shd w:fill="0D3A28"/>
            <w:vAlign w:val="center"/>
            <w:tcMar>
              <w:top w:w="90" w:type="dxa"/>
              <w:start w:w="120" w:type="dxa"/>
              <w:bottom w:w="90" w:type="dxa"/>
              <w:end w:w="120" w:type="dxa"/>
            </w:tcMar>
          </w:tcPr>
          <w:p>
            <w:pPr>
              <w:spacing w:before="0" w:after="0" w:line="259" w:lineRule="auto"/>
              <w:jc w:val="left"/>
            </w:pPr>
            <w:r/>
            <w:r>
              <w:rPr>
                <w:rFonts w:ascii="Arial" w:hAnsi="Arial" w:eastAsia="Arial"/>
                <w:b/>
                <w:color w:val="FFFFFF"/>
                <w:sz w:val="17"/>
              </w:rPr>
              <w:t>Décision / signature</w:t>
            </w:r>
          </w:p>
        </w:tc>
        <w:tc>
          <w:tcPr>
            <w:tcW w:type="dxa" w:w="1700"/>
            <w:shd w:fill="0D3A28"/>
            <w:vAlign w:val="center"/>
            <w:tcMar>
              <w:top w:w="90" w:type="dxa"/>
              <w:start w:w="120" w:type="dxa"/>
              <w:bottom w:w="90" w:type="dxa"/>
              <w:end w:w="120" w:type="dxa"/>
            </w:tcMar>
          </w:tcPr>
          <w:p>
            <w:pPr>
              <w:spacing w:before="0" w:after="0" w:line="259" w:lineRule="auto"/>
              <w:jc w:val="center"/>
            </w:pPr>
            <w:r/>
            <w:r>
              <w:rPr>
                <w:rFonts w:ascii="Arial" w:hAnsi="Arial" w:eastAsia="Arial"/>
                <w:b/>
                <w:color w:val="FFFFFF"/>
                <w:sz w:val="17"/>
              </w:rPr>
              <w:t>Date</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Release owner</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Relecteur technique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3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Relecteur sécurité</w:t>
            </w:r>
          </w:p>
        </w:tc>
        <w:tc>
          <w:tcPr>
            <w:tcW w:type="dxa" w:w="21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SIGNER</w:t>
            </w:r>
          </w:p>
        </w:tc>
        <w:tc>
          <w:tcPr>
            <w:tcW w:type="dxa" w:w="1700"/>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r>
        <w:trPr>
          <w:cantSplit/>
        </w:trPr>
        <w:tc>
          <w:tcPr>
            <w:tcW w:type="dxa" w:w="23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Décideur de gate</w:t>
            </w:r>
          </w:p>
        </w:tc>
        <w:tc>
          <w:tcPr>
            <w:tcW w:type="dxa" w:w="21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c>
          <w:tcPr>
            <w:tcW w:type="dxa" w:w="34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PASS / PASS AVEC RÉSERVES / FAIL</w:t>
            </w:r>
          </w:p>
        </w:tc>
        <w:tc>
          <w:tcPr>
            <w:tcW w:type="dxa" w:w="1700"/>
            <w:shd w:fill="EDF3EF"/>
            <w:vAlign w:val="center"/>
            <w:tcMar>
              <w:top w:w="90" w:type="dxa"/>
              <w:start w:w="120" w:type="dxa"/>
              <w:bottom w:w="90" w:type="dxa"/>
              <w:end w:w="120" w:type="dxa"/>
            </w:tcMar>
          </w:tcPr>
          <w:p>
            <w:pPr>
              <w:spacing w:before="0" w:after="0" w:line="259" w:lineRule="auto"/>
              <w:jc w:val="left"/>
            </w:pPr>
            <w:r/>
            <w:r>
              <w:rPr>
                <w:rFonts w:ascii="Arial" w:hAnsi="Arial" w:eastAsia="Arial"/>
                <w:b w:val="0"/>
                <w:color w:val="162019"/>
                <w:sz w:val="15"/>
              </w:rPr>
              <w:t>À RENSEIGNER</w:t>
            </w:r>
          </w:p>
        </w:tc>
      </w:tr>
    </w:tbl>
    <w:p>
      <w:pPr>
        <w:spacing w:after="40"/>
      </w:pPr>
    </w:p>
    <w:p>
      <w:pPr>
        <w:spacing w:before="100" w:after="180" w:line="283" w:lineRule="auto"/>
        <w:ind w:left="227" w:right="170"/>
        <w:shd w:fill="F6F0E3"/>
        <w:pBdr>
          <w:left w:val="single" w:sz="18" w:space="8" w:color="C6A15B"/>
        </w:pBdr>
      </w:pPr>
      <w:r>
        <w:rPr>
          <w:rFonts w:ascii="Arial" w:hAnsi="Arial" w:eastAsia="Arial"/>
          <w:b/>
          <w:color w:val="C6A15B"/>
          <w:sz w:val="16"/>
        </w:rPr>
        <w:t>CLÔTURE V1.0</w:t>
        <w:br/>
      </w:r>
      <w:r>
        <w:rPr>
          <w:rFonts w:ascii="Arial" w:hAnsi="Arial" w:eastAsia="Arial"/>
          <w:b w:val="0"/>
          <w:color w:val="162019"/>
          <w:sz w:val="20"/>
        </w:rPr>
        <w:t>Ce rapport est prêt à recevoir les preuves de la candidate réelle. Tant que RC-A01 à RC-A10 ne sont pas rapprochées, le résultat reste PASS déclaré — non corroboré. Ce jalon ne constitue ni un pilote client ni un audit indépendant.</w:t>
      </w:r>
    </w:p>
    <w:sectPr w:rsidR="00FC693F" w:rsidRPr="0006063C" w:rsidSect="00034616">
      <w:headerReference w:type="default" r:id="rId9"/>
      <w:footerReference w:type="default" r:id="rId10"/>
      <w:pgSz w:w="11906" w:h="16838"/>
      <w:pgMar w:top="1077" w:right="1134" w:bottom="1020" w:left="1134" w:header="567" w:footer="56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411" w:val="right"/>
        <w:tab w:pos="9411" w:val="right"/>
      </w:tabs>
      <w:jc w:val="right"/>
    </w:pPr>
    <w:r>
      <w:rPr>
        <w:rFonts w:ascii="Arial" w:hAnsi="Arial" w:eastAsia="Arial"/>
        <w:color w:val="66736B"/>
        <w:sz w:val="14"/>
      </w:rPr>
      <w:t>PACTURION — RC V1.0</w:t>
    </w:r>
    <w:r>
      <w:rPr>
        <w:rFonts w:ascii="Arial" w:hAnsi="Arial" w:eastAsia="Arial"/>
        <w:b/>
        <w:color w:val="C6A15B"/>
        <w:sz w:val="14"/>
      </w:rPr>
      <w:tab/>
      <w:t xml:space="preserve">RAPPORT CONTRÔLÉ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Pr>
    <w:r>
      <w:rPr>
        <w:rFonts w:ascii="Arial" w:hAnsi="Arial" w:eastAsia="Arial"/>
        <w:b/>
        <w:color w:val="66736B"/>
        <w:sz w:val="15"/>
      </w:rPr>
      <w:t>PACTURION   |   RELEASE CANDIDATE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abstractNum w:abstractNumId="9">
    <w:multiLevelType w:val="singleLevel"/>
    <w:lvl w:ilvl="0">
      <w:start w:val="1"/>
      <w:numFmt w:val="bullet"/>
      <w:lvlText w:val="•"/>
      <w:suff w:val="tab"/>
      <w:pPr>
        <w:tabs>
          <w:tab w:val="num" w:pos="540"/>
        </w:tabs>
        <w:ind w:left="540" w:hanging="270"/>
      </w:pPr>
      <w:rPr>
        <w:color w:val="C6A15B"/>
      </w:rPr>
    </w:lvl>
  </w:abstractNum>
  <w:num w:numId="10">
    <w:abstractNumId w:val="9"/>
  </w:num>
  <w:abstractNum w:abstractNumId="10">
    <w:multiLevelType w:val="singleLevel"/>
    <w:lvl w:ilvl="0">
      <w:start w:val="1"/>
      <w:numFmt w:val="decimal"/>
      <w:lvlText w:val="%1."/>
      <w:suff w:val="tab"/>
      <w:pPr>
        <w:tabs>
          <w:tab w:val="num" w:pos="540"/>
        </w:tabs>
        <w:ind w:left="540" w:hanging="270"/>
      </w:pPr>
      <w:rPr>
        <w:color w:val="155A3E"/>
      </w:rPr>
    </w:lvl>
  </w:abstractNum>
  <w:num w:numId="11">
    <w:abstractNumId w:val="10"/>
  </w:num>
  <w:abstractNum w:abstractNumId="11">
    <w:multiLevelType w:val="singleLevel"/>
    <w:lvl w:ilvl="0">
      <w:start w:val="1"/>
      <w:numFmt w:val="decimal"/>
      <w:lvlText w:val="%1."/>
      <w:suff w:val="tab"/>
      <w:pPr>
        <w:tabs>
          <w:tab w:val="num" w:pos="540"/>
        </w:tabs>
        <w:ind w:left="540" w:hanging="270"/>
      </w:pPr>
      <w:rPr>
        <w:color w:val="155A3E"/>
      </w:rPr>
    </w:lvl>
  </w:abstractNum>
  <w:num w:numId="12">
    <w:abstractNumId w:val="11"/>
  </w:num>
  <w:abstractNum w:abstractNumId="12">
    <w:multiLevelType w:val="singleLevel"/>
    <w:lvl w:ilvl="0">
      <w:start w:val="1"/>
      <w:numFmt w:val="decimal"/>
      <w:lvlText w:val="%1."/>
      <w:suff w:val="tab"/>
      <w:pPr>
        <w:tabs>
          <w:tab w:val="num" w:pos="540"/>
        </w:tabs>
        <w:ind w:left="540" w:hanging="270"/>
      </w:pPr>
      <w:rPr>
        <w:color w:val="155A3E"/>
      </w:rPr>
    </w:lvl>
  </w:abstractNum>
  <w:num w:numId="13">
    <w:abstractNumId w:val="12"/>
  </w:num>
  <w:abstractNum w:abstractNumId="13">
    <w:multiLevelType w:val="singleLevel"/>
    <w:lvl w:ilvl="0">
      <w:start w:val="1"/>
      <w:numFmt w:val="decimal"/>
      <w:lvlText w:val="%1."/>
      <w:suff w:val="tab"/>
      <w:pPr>
        <w:tabs>
          <w:tab w:val="num" w:pos="540"/>
        </w:tabs>
        <w:ind w:left="540" w:hanging="270"/>
      </w:pPr>
      <w:rPr>
        <w:color w:val="155A3E"/>
      </w:rPr>
    </w:lvl>
  </w:abstractNum>
  <w:num w:numId="14">
    <w:abstractNumId w:val="13"/>
  </w:num>
  <w:abstractNum w:abstractNumId="14">
    <w:multiLevelType w:val="singleLevel"/>
    <w:lvl w:ilvl="0">
      <w:start w:val="1"/>
      <w:numFmt w:val="decimal"/>
      <w:lvlText w:val="%1."/>
      <w:suff w:val="tab"/>
      <w:pPr>
        <w:tabs>
          <w:tab w:val="num" w:pos="540"/>
        </w:tabs>
        <w:ind w:left="540" w:hanging="270"/>
      </w:pPr>
      <w:rPr>
        <w:color w:val="155A3E"/>
      </w:rPr>
    </w:lvl>
  </w:abstractNum>
  <w:num w:numId="15">
    <w:abstractNumId w:val="14"/>
  </w:num>
  <w:abstractNum w:abstractNumId="15">
    <w:multiLevelType w:val="singleLevel"/>
    <w:lvl w:ilvl="0">
      <w:start w:val="1"/>
      <w:numFmt w:val="bullet"/>
      <w:lvlText w:val="•"/>
      <w:suff w:val="tab"/>
      <w:pPr>
        <w:tabs>
          <w:tab w:val="num" w:pos="540"/>
        </w:tabs>
        <w:ind w:left="540" w:hanging="270"/>
      </w:pPr>
      <w:rPr>
        <w:color w:val="C6A15B"/>
      </w:rPr>
    </w:lvl>
  </w:abstractNum>
  <w:num w:numId="16">
    <w:abstractNumId w:val="15"/>
  </w:num>
  <w:abstractNum w:abstractNumId="16">
    <w:multiLevelType w:val="singleLevel"/>
    <w:lvl w:ilvl="0">
      <w:start w:val="1"/>
      <w:numFmt w:val="decimal"/>
      <w:lvlText w:val="%1."/>
      <w:suff w:val="tab"/>
      <w:pPr>
        <w:tabs>
          <w:tab w:val="num" w:pos="540"/>
        </w:tabs>
        <w:ind w:left="540" w:hanging="270"/>
      </w:pPr>
      <w:rPr>
        <w:color w:val="155A3E"/>
      </w:rPr>
    </w:lvl>
  </w:abstractNum>
  <w:num w:numId="17">
    <w:abstractNumId w:val="16"/>
  </w:num>
  <w:abstractNum w:abstractNumId="17">
    <w:multiLevelType w:val="singleLevel"/>
    <w:lvl w:ilvl="0">
      <w:start w:val="1"/>
      <w:numFmt w:val="bullet"/>
      <w:lvlText w:val="•"/>
      <w:suff w:val="tab"/>
      <w:pPr>
        <w:tabs>
          <w:tab w:val="num" w:pos="540"/>
        </w:tabs>
        <w:ind w:left="540" w:hanging="270"/>
      </w:pPr>
      <w:rPr>
        <w:color w:val="C6A15B"/>
      </w:rPr>
    </w:lvl>
  </w:abstractNum>
  <w:num w:numId="18">
    <w:abstractNumId w:val="17"/>
  </w:num>
  <w:abstractNum w:abstractNumId="18">
    <w:multiLevelType w:val="singleLevel"/>
    <w:lvl w:ilvl="0">
      <w:start w:val="1"/>
      <w:numFmt w:val="bullet"/>
      <w:lvlText w:val="•"/>
      <w:suff w:val="tab"/>
      <w:pPr>
        <w:tabs>
          <w:tab w:val="num" w:pos="540"/>
        </w:tabs>
        <w:ind w:left="540" w:hanging="270"/>
      </w:pPr>
      <w:rPr>
        <w:color w:val="C6A15B"/>
      </w:rPr>
    </w:lvl>
  </w:abstractNum>
  <w:num w:numId="19">
    <w:abstractNumId w:val="18"/>
  </w:num>
  <w:abstractNum w:abstractNumId="19">
    <w:multiLevelType w:val="singleLevel"/>
    <w:lvl w:ilvl="0">
      <w:start w:val="1"/>
      <w:numFmt w:val="bullet"/>
      <w:lvlText w:val="•"/>
      <w:suff w:val="tab"/>
      <w:pPr>
        <w:tabs>
          <w:tab w:val="num" w:pos="540"/>
        </w:tabs>
        <w:ind w:left="540" w:hanging="270"/>
      </w:pPr>
      <w:rPr>
        <w:color w:val="C6A15B"/>
      </w:rPr>
    </w:lvl>
  </w:abstractNum>
  <w:num w:numId="20">
    <w:abstractNumId w:val="19"/>
  </w:num>
  <w:abstractNum w:abstractNumId="20">
    <w:multiLevelType w:val="singleLevel"/>
    <w:lvl w:ilvl="0">
      <w:start w:val="1"/>
      <w:numFmt w:val="bullet"/>
      <w:lvlText w:val="•"/>
      <w:suff w:val="tab"/>
      <w:pPr>
        <w:tabs>
          <w:tab w:val="num" w:pos="540"/>
        </w:tabs>
        <w:ind w:left="540" w:hanging="270"/>
      </w:pPr>
      <w:rPr>
        <w:color w:val="C6A15B"/>
      </w:rPr>
    </w:lvl>
  </w:abstractNum>
  <w:num w:numId="21">
    <w:abstractNumId w:val="20"/>
  </w:num>
  <w:abstractNum w:abstractNumId="21">
    <w:multiLevelType w:val="singleLevel"/>
    <w:lvl w:ilvl="0">
      <w:start w:val="1"/>
      <w:numFmt w:val="bullet"/>
      <w:lvlText w:val="•"/>
      <w:suff w:val="tab"/>
      <w:pPr>
        <w:tabs>
          <w:tab w:val="num" w:pos="540"/>
        </w:tabs>
        <w:ind w:left="540" w:hanging="270"/>
      </w:pPr>
      <w:rPr>
        <w:color w:val="C6A15B"/>
      </w:rPr>
    </w:lvl>
  </w:abstractNum>
  <w:num w:numId="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before="0" w:after="140" w:line="307" w:lineRule="auto"/>
    </w:pPr>
    <w:rPr>
      <w:rFonts w:ascii="Arial" w:hAnsi="Arial"/>
      <w:color w:val="162019"/>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ascii="Arial" w:hAnsi="Arial"/>
      <w:b/>
      <w:bCs/>
      <w:color w:val="06110B"/>
      <w:sz w:val="44"/>
      <w:szCs w:val="28"/>
    </w:rPr>
  </w:style>
  <w:style w:type="paragraph" w:styleId="Heading2">
    <w:name w:val="heading 2"/>
    <w:basedOn w:val="Normal"/>
    <w:next w:val="Normal"/>
    <w:link w:val="Heading2Char"/>
    <w:uiPriority w:val="9"/>
    <w:unhideWhenUsed/>
    <w:qFormat/>
    <w:rsid w:val="00FC693F"/>
    <w:pPr>
      <w:keepNext/>
      <w:keepLines/>
      <w:spacing w:before="280" w:after="140"/>
      <w:outlineLvl w:val="1"/>
    </w:pPr>
    <w:rPr>
      <w:rFonts w:asciiTheme="majorHAnsi" w:eastAsiaTheme="majorEastAsia" w:hAnsiTheme="majorHAnsi" w:cstheme="majorBidi" w:ascii="Arial" w:hAnsi="Arial"/>
      <w:b/>
      <w:bCs/>
      <w:color w:val="0D3A28"/>
      <w:sz w:val="28"/>
      <w:szCs w:val="26"/>
    </w:rPr>
  </w:style>
  <w:style w:type="paragraph" w:styleId="Heading3">
    <w:name w:val="heading 3"/>
    <w:basedOn w:val="Normal"/>
    <w:next w:val="Normal"/>
    <w:link w:val="Heading3Char"/>
    <w:uiPriority w:val="9"/>
    <w:unhideWhenUsed/>
    <w:qFormat/>
    <w:rsid w:val="00FC693F"/>
    <w:pPr>
      <w:keepNext/>
      <w:keepLines/>
      <w:spacing w:before="180" w:after="100"/>
      <w:outlineLvl w:val="2"/>
    </w:pPr>
    <w:rPr>
      <w:rFonts w:asciiTheme="majorHAnsi" w:eastAsiaTheme="majorEastAsia" w:hAnsiTheme="majorHAnsi" w:cstheme="majorBidi" w:ascii="Arial" w:hAnsi="Arial"/>
      <w:b/>
      <w:bCs/>
      <w:color w:val="155A3E"/>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hyperlink" Target="https://eur-lex.europa.eu/eli/reg/2023/1114/oj" TargetMode="External"/><Relationship Id="rId13" Type="http://schemas.openxmlformats.org/officeDocument/2006/relationships/hyperlink" Target="https://docs.openzeppelin.com/contracts/5.x/governance" TargetMode="External"/><Relationship Id="rId14" Type="http://schemas.openxmlformats.org/officeDocument/2006/relationships/hyperlink" Target="https://docs.base.org/base-chain/network-information/" TargetMode="External"/><Relationship Id="rId15" Type="http://schemas.openxmlformats.org/officeDocument/2006/relationships/hyperlink" Target="https://www.amf-france.org/fr/espace-professionnels/fintech/mes-relations-avec-lamf/emission-admission-de-crypto-actifs" TargetMode="External"/><Relationship Id="rId16" Type="http://schemas.openxmlformats.org/officeDocument/2006/relationships/hyperlink" Target="https://eips.ethereum.org/EIPS/eip-20" TargetMode="External"/><Relationship Id="rId17" Type="http://schemas.openxmlformats.org/officeDocument/2006/relationships/hyperlink" Target="https://eips.ethereum.org/EIPS/eip-712" TargetMode="External"/><Relationship Id="rId18" Type="http://schemas.openxmlformats.org/officeDocument/2006/relationships/hyperlink" Target="https://eips.ethereum.org/EIPS/eip-127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Pacturion — Rapport Release Candidate V1.0</dc:title>
  <dc:subject>Formalisation du jalon Release Candidate ALPHA / VERIDIA Protocol</dc:subject>
  <dc:creator>Pacturion</dc:creator>
  <cp:keywords>Pacturion, VERIDIA Protocol, ALPHA, Release Candidate, RC, validation, preuves</cp:keywords>
  <dc:description>DRAFT contrôlé — PASS déclaré, preuves à annexer</dc:description>
  <cp:lastModifiedBy/>
  <cp:revision>1</cp:revision>
  <dcterms:created xsi:type="dcterms:W3CDTF">2013-12-23T23:15:00Z</dcterms:created>
  <dcterms:modified xsi:type="dcterms:W3CDTF">2013-12-23T23:15:00Z</dcterms:modified>
  <cp:category/>
</cp:coreProperties>
</file>