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8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160"/>
      </w:pPr>
      <w:r>
        <w:rPr>
          <w:rFonts w:ascii="Arial" w:hAnsi="Arial" w:eastAsia="Arial"/>
          <w:b/>
          <w:color w:val="06110B"/>
          <w:sz w:val="62"/>
        </w:rPr>
        <w:t>ROADMAP 2026–2028</w:t>
      </w:r>
    </w:p>
    <w:p>
      <w:pPr>
        <w:spacing w:after="260"/>
      </w:pPr>
      <w:r>
        <w:rPr>
          <w:rFonts w:ascii="Arial" w:hAnsi="Arial" w:eastAsia="Arial"/>
          <w:color w:val="155A3E"/>
          <w:sz w:val="33"/>
        </w:rPr>
        <w:t>De la preuve technique à la preuve d’usage</w:t>
      </w:r>
    </w:p>
    <w:p>
      <w:pPr>
        <w:spacing w:after="500"/>
      </w:pPr>
      <w:r>
        <w:rPr>
          <w:rFonts w:ascii="Arial" w:hAnsi="Arial" w:eastAsia="Arial"/>
          <w:color w:val="162019"/>
          <w:sz w:val="23"/>
        </w:rPr>
        <w:t>Trajectoire à jalons pour Pacturion et son infrastructure technique VERIDIA Protocol.</w:t>
      </w:r>
    </w:p>
    <w:tbl>
      <w:tblPr>
        <w:tblStyle w:val="TableGrid"/>
        <w:tblW w:type="dxa" w:w="9600"/>
        <w:jc w:val="left"/>
        <w:tblLayout w:type="fixed"/>
        <w:tblLook w:firstColumn="1" w:firstRow="1" w:lastColumn="0" w:lastRow="0" w:noHBand="0" w:noVBand="1" w:val="04A0"/>
        <w:tblInd w:w="120" w:type="dxa"/>
      </w:tblPr>
      <w:tblGrid>
        <w:gridCol w:w="1300"/>
        <w:gridCol w:w="2100"/>
        <w:gridCol w:w="3300"/>
        <w:gridCol w:w="2900"/>
      </w:tblGrid>
      <w:tr>
        <w:trPr>
          <w:tblHeader w:val="true"/>
          <w:cantSplit/>
        </w:trPr>
        <w:tc>
          <w:tcPr>
            <w:tcW w:type="dxa" w:w="1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29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HORIZON</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8 septembre 2026</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Document de travail contrôlé</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2026–2028 et au-delà</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MODE DE PILOTAGE</w:t>
        <w:br/>
      </w:r>
      <w:r>
        <w:rPr>
          <w:rFonts w:ascii="Arial" w:hAnsi="Arial" w:eastAsia="Arial"/>
          <w:b w:val="0"/>
          <w:color w:val="162019"/>
          <w:sz w:val="20"/>
        </w:rPr>
        <w:t>Cette roadmap n’est pas un calendrier promotionnel. Les fenêtres donnent un ordre de travail ; aucune phase ne progresse sans preuve suffisante et décision explicite.</w:t>
      </w:r>
    </w:p>
    <w:p>
      <w:pPr>
        <w:spacing w:before="880"/>
      </w:pPr>
      <w:r>
        <w:rPr>
          <w:rFonts w:ascii="Arial" w:hAnsi="Arial" w:eastAsia="Arial"/>
          <w:b/>
          <w:color w:val="C6A15B"/>
          <w:sz w:val="22"/>
        </w:rPr>
        <w:t>Infrastructure for verifiable commitments.</w:t>
      </w:r>
    </w:p>
    <w:p>
      <w:r>
        <w:br w:type="page"/>
      </w:r>
    </w:p>
    <w:p>
      <w:pPr>
        <w:keepNext/>
        <w:spacing w:before="0" w:after="100"/>
      </w:pPr>
      <w:r>
        <w:rPr>
          <w:rFonts w:ascii="Arial" w:hAnsi="Arial" w:eastAsia="Arial"/>
          <w:b/>
          <w:color w:val="C6A15B"/>
          <w:sz w:val="16"/>
        </w:rPr>
        <w:t>CONTRÔLE DU DOCUMENT</w:t>
      </w:r>
    </w:p>
    <w:p>
      <w:pPr>
        <w:spacing w:after="280"/>
      </w:pPr>
      <w:r>
        <w:rPr>
          <w:rFonts w:ascii="Arial" w:hAnsi="Arial" w:eastAsia="Arial"/>
          <w:b/>
          <w:color w:val="06110B"/>
          <w:sz w:val="46"/>
        </w:rPr>
        <w:t>Périmètre, langage et règles de lecture</w:t>
      </w:r>
    </w:p>
    <w:tbl>
      <w:tblPr>
        <w:tblStyle w:val="TableGrid"/>
        <w:tblW w:type="dxa" w:w="9500"/>
        <w:jc w:val="left"/>
        <w:tblLayout w:type="fixed"/>
        <w:tblLook w:firstColumn="1" w:firstRow="1" w:lastColumn="0" w:lastRow="0" w:noHBand="0" w:noVBand="1" w:val="04A0"/>
        <w:tblInd w:w="120" w:type="dxa"/>
      </w:tblPr>
      <w:tblGrid>
        <w:gridCol w:w="2800"/>
        <w:gridCol w:w="6700"/>
      </w:tblGrid>
      <w:tr>
        <w:trPr>
          <w:tblHeader w:val="true"/>
          <w:cantSplit/>
        </w:trPr>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POSITION OFFICIELLE</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Marque</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Pacturion — vision, offre, recherche, partenariats et relation avec le marché</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Infrastructure</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VERIDIA Protocol — règles, preuves, décisions et traçabilité</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Priorité produit</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ALPHA, nom de travail interne, à valider sur un workflow client réel</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Module séparé</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BCS — règlement sponsor-financé, non requis pour valider ALPHA</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Recherche long terme</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Proof-of-Reality — hors chemin critique 2026–2027</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Réseau de test</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Base Sepolia — chain ID 84532</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Mainnet</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autorisé à la date de référence</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Audit indépendant</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réalisé ; prochaine gate externe annoncée</w:t>
            </w:r>
          </w:p>
        </w:tc>
      </w:tr>
    </w:tbl>
    <w:p>
      <w:pPr>
        <w:spacing w:after="40"/>
      </w:pPr>
    </w:p>
    <w:p>
      <w:pPr>
        <w:pStyle w:val="Heading2"/>
      </w:pPr>
      <w:r>
        <w:t>Statuts utilisés</w:t>
      </w:r>
    </w:p>
    <w:tbl>
      <w:tblPr>
        <w:tblStyle w:val="TableGrid"/>
        <w:tblW w:type="dxa" w:w="9500"/>
        <w:jc w:val="left"/>
        <w:tblLayout w:type="fixed"/>
        <w:tblLook w:firstColumn="1" w:firstRow="1" w:lastColumn="0" w:lastRow="0" w:noHBand="0" w:noVBand="1" w:val="04A0"/>
        <w:tblInd w:w="120" w:type="dxa"/>
      </w:tblPr>
      <w:tblGrid>
        <w:gridCol w:w="2300"/>
        <w:gridCol w:w="7200"/>
      </w:tblGrid>
      <w:tr>
        <w:trPr>
          <w:tblHeader w:val="true"/>
          <w:cantSplit/>
        </w:trPr>
        <w:tc>
          <w:tcPr>
            <w:tcW w:type="dxa" w:w="2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72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SIGNIFICATION</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TERMINÉ</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Pièce ou résultat disponible et identifiable.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DÉCLARÉ</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Résultat communiqué par le porteur, preuve formelle encore à annexer.</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EN COURS</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Travail ouvert avec livrables et critères connus.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PRÉVU</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Travail futur autorisé dans la séquence.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CONDITIONNÉ</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Démarrage soumis à une gate antérieure.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APPROUVÉ</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Action interdite à ce stade.</w:t>
            </w:r>
          </w:p>
        </w:tc>
      </w:tr>
    </w:tbl>
    <w:p>
      <w:pPr>
        <w:spacing w:after="40"/>
      </w:pPr>
    </w:p>
    <w:p>
      <w:r>
        <w:br w:type="page"/>
      </w:r>
    </w:p>
    <w:p>
      <w:pPr>
        <w:keepNext/>
        <w:spacing w:before="440" w:after="100"/>
      </w:pPr>
      <w:r>
        <w:rPr>
          <w:rFonts w:ascii="Arial" w:hAnsi="Arial" w:eastAsia="Arial"/>
          <w:b/>
          <w:color w:val="C6A15B"/>
          <w:sz w:val="16"/>
        </w:rPr>
        <w:t>CHAPITRE A</w:t>
      </w:r>
    </w:p>
    <w:p>
      <w:pPr>
        <w:pStyle w:val="Heading1"/>
        <w:pageBreakBefore w:val="0"/>
      </w:pPr>
      <w:r>
        <w:t>Baseline au 8 septembre 2026</w:t>
      </w:r>
    </w:p>
    <w:p>
      <w:pPr>
        <w:keepNext/>
        <w:spacing w:after="320"/>
      </w:pPr>
      <w:r>
        <w:rPr>
          <w:rFonts w:ascii="Arial" w:hAnsi="Arial" w:eastAsia="Arial"/>
          <w:i/>
          <w:color w:val="66736B"/>
          <w:sz w:val="25"/>
        </w:rPr>
        <w:t>L’état de départ de la roadmap, avec une séparation stricte entre preuves, déclarations et validations externes.</w:t>
      </w:r>
    </w:p>
    <w:tbl>
      <w:tblPr>
        <w:tblStyle w:val="TableGrid"/>
        <w:tblW w:type="dxa" w:w="9500"/>
        <w:jc w:val="left"/>
        <w:tblLayout w:type="fixed"/>
        <w:tblLook w:firstColumn="1" w:firstRow="1" w:lastColumn="0" w:lastRow="0" w:noHBand="0" w:noVBand="1" w:val="04A0"/>
        <w:tblInd w:w="120" w:type="dxa"/>
      </w:tblPr>
      <w:tblGrid>
        <w:gridCol w:w="2700"/>
        <w:gridCol w:w="2500"/>
        <w:gridCol w:w="4300"/>
      </w:tblGrid>
      <w:tr>
        <w:trPr>
          <w:tblHeader w:val="true"/>
          <w:cantSplit/>
        </w:trPr>
        <w:tc>
          <w:tcPr>
            <w:tcW w:type="dxa" w:w="2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CAPACITÉ</w:t>
            </w:r>
          </w:p>
        </w:tc>
        <w:tc>
          <w:tcPr>
            <w:tcW w:type="dxa" w:w="2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c>
          <w:tcPr>
            <w:tcW w:type="dxa" w:w="4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PROCHAINE PREUVE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Architecture Pacturion / VERIDIA</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STRUCTURÉ</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Version canonique, diagrammes et périmètre gelé</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Phase 3B</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INTERNE DOCUMENTÉ</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Rapport, commit, commandes et traces à rapprocher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Phase 3.E Human Pilot</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DÉCLARÉ</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Rapport formel, scénarios, date et signature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Release Candidate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DÉCLARÉ</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Gate signée, commit, réserves et artefacts</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Base Sepolia</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DÉPLOIEMENT DÉCLARÉ</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Adresses, transactions, blocs, rôles et bytecodes</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indépendant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RÉALISÉ</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Scope, mission, rapport, corrections et retest</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Marché</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VALIDÉ</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Entretiens, workflows, prix discuté et pilotes</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Mainnet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APPROUVÉ</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Toutes les gates sécurité, ops, juridique et usage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VERIDIA token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REQUIS</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Nécessité démontrée séparément avant toute activation</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CLARIFICATION ESSENTIELLE</w:t>
        <w:br/>
      </w:r>
      <w:r>
        <w:rPr>
          <w:rFonts w:ascii="Arial" w:hAnsi="Arial" w:eastAsia="Arial"/>
          <w:b w:val="0"/>
          <w:color w:val="162019"/>
          <w:sz w:val="20"/>
        </w:rPr>
        <w:t>La Phase 3.E Human Pilot est un jalon technique interne déclaré PASS. Elle ne prouve pas qu’un pilote client externe, un budget ou un marché ont été validés.</w:t>
      </w:r>
    </w:p>
    <w:p>
      <w:pPr>
        <w:pStyle w:val="Heading2"/>
      </w:pPr>
      <w:r>
        <w:t>Travail déjà disponible</w:t>
      </w:r>
    </w:p>
    <w:p>
      <w:pPr>
        <w:numPr>
          <w:ilvl w:val="0"/>
          <w:numId w:val="16"/>
        </w:numPr>
        <w:spacing w:after="80" w:line="283" w:lineRule="auto"/>
      </w:pPr>
      <w:r>
        <w:rPr>
          <w:rFonts w:ascii="Arial" w:hAnsi="Arial" w:eastAsia="Arial"/>
          <w:color w:val="162019"/>
          <w:sz w:val="20"/>
        </w:rPr>
        <w:t>Document de référence Pacturion V1.0 ;</w:t>
      </w:r>
    </w:p>
    <w:p>
      <w:pPr>
        <w:numPr>
          <w:ilvl w:val="0"/>
          <w:numId w:val="16"/>
        </w:numPr>
        <w:spacing w:after="80" w:line="283" w:lineRule="auto"/>
      </w:pPr>
      <w:r>
        <w:rPr>
          <w:rFonts w:ascii="Arial" w:hAnsi="Arial" w:eastAsia="Arial"/>
          <w:color w:val="162019"/>
          <w:sz w:val="20"/>
        </w:rPr>
        <w:t>dossier de préparation à l’audit externe V1.0 ;</w:t>
      </w:r>
    </w:p>
    <w:p>
      <w:pPr>
        <w:numPr>
          <w:ilvl w:val="0"/>
          <w:numId w:val="16"/>
        </w:numPr>
        <w:spacing w:after="80" w:line="283" w:lineRule="auto"/>
      </w:pPr>
      <w:r>
        <w:rPr>
          <w:rFonts w:ascii="Arial" w:hAnsi="Arial" w:eastAsia="Arial"/>
          <w:color w:val="162019"/>
          <w:sz w:val="20"/>
        </w:rPr>
        <w:t>registre des preuves techniques V1.0 ;</w:t>
      </w:r>
    </w:p>
    <w:p>
      <w:pPr>
        <w:numPr>
          <w:ilvl w:val="0"/>
          <w:numId w:val="16"/>
        </w:numPr>
        <w:spacing w:after="80" w:line="283" w:lineRule="auto"/>
      </w:pPr>
      <w:r>
        <w:rPr>
          <w:rFonts w:ascii="Arial" w:hAnsi="Arial" w:eastAsia="Arial"/>
          <w:color w:val="162019"/>
          <w:sz w:val="20"/>
        </w:rPr>
        <w:t>roadmap historique VERIDIA utilisée comme source de travail ;</w:t>
      </w:r>
    </w:p>
    <w:p>
      <w:pPr>
        <w:numPr>
          <w:ilvl w:val="0"/>
          <w:numId w:val="16"/>
        </w:numPr>
        <w:spacing w:after="80" w:line="283" w:lineRule="auto"/>
      </w:pPr>
      <w:r>
        <w:rPr>
          <w:rFonts w:ascii="Arial" w:hAnsi="Arial" w:eastAsia="Arial"/>
          <w:color w:val="162019"/>
          <w:sz w:val="20"/>
        </w:rPr>
        <w:t>livre blanc VERIDIA V0.9 à réviser sous Pacturion.</w:t>
      </w:r>
    </w:p>
    <w:p>
      <w:r>
        <w:br w:type="page"/>
      </w:r>
    </w:p>
    <w:p>
      <w:pPr>
        <w:keepNext/>
        <w:spacing w:before="440" w:after="100"/>
      </w:pPr>
      <w:r>
        <w:rPr>
          <w:rFonts w:ascii="Arial" w:hAnsi="Arial" w:eastAsia="Arial"/>
          <w:b/>
          <w:color w:val="C6A15B"/>
          <w:sz w:val="16"/>
        </w:rPr>
        <w:t>CHAPITRE B</w:t>
      </w:r>
    </w:p>
    <w:p>
      <w:pPr>
        <w:pStyle w:val="Heading1"/>
        <w:pageBreakBefore w:val="0"/>
      </w:pPr>
      <w:r>
        <w:t>Cap stratégique et critical path</w:t>
      </w:r>
    </w:p>
    <w:p>
      <w:pPr>
        <w:keepNext/>
        <w:spacing w:after="320"/>
      </w:pPr>
      <w:r>
        <w:rPr>
          <w:rFonts w:ascii="Arial" w:hAnsi="Arial" w:eastAsia="Arial"/>
          <w:i/>
          <w:color w:val="66736B"/>
          <w:sz w:val="25"/>
        </w:rPr>
        <w:t>Prouver une valeur d’usage avant de complexifier l’infrastructure ou d’activer un actif natif.</w:t>
      </w:r>
    </w:p>
    <w:p>
      <w:pPr>
        <w:spacing w:before="100" w:after="180" w:line="283" w:lineRule="auto"/>
        <w:ind w:left="227" w:right="170"/>
        <w:shd w:fill="EDF3EF"/>
        <w:pBdr>
          <w:left w:val="single" w:sz="18" w:space="8" w:color="155A3E"/>
        </w:pBdr>
      </w:pPr>
      <w:r>
        <w:rPr>
          <w:rFonts w:ascii="Arial" w:hAnsi="Arial" w:eastAsia="Arial"/>
          <w:b/>
          <w:color w:val="155A3E"/>
          <w:sz w:val="16"/>
        </w:rPr>
        <w:t>NORTH STAR</w:t>
        <w:br/>
      </w:r>
      <w:r>
        <w:rPr>
          <w:rFonts w:ascii="Arial" w:hAnsi="Arial" w:eastAsia="Arial"/>
          <w:b w:val="0"/>
          <w:color w:val="162019"/>
          <w:sz w:val="20"/>
        </w:rPr>
        <w:t>Prouver qu’un décideur accepte de payer pour un engagement numérique borné, que Pacturion le traite de façon plus sûre et plus vérifiable qu’une alternative, puis décider séparément si VERIDIA apporte une propriété indispensable.</w:t>
      </w:r>
    </w:p>
    <w:tbl>
      <w:tblPr>
        <w:tblStyle w:val="TableGrid"/>
        <w:tblW w:type="dxa" w:w="9500"/>
        <w:jc w:val="left"/>
        <w:tblLayout w:type="fixed"/>
        <w:tblLook w:firstColumn="1" w:firstRow="1" w:lastColumn="0" w:lastRow="0" w:noHBand="0" w:noVBand="1" w:val="04A0"/>
        <w:tblInd w:w="120" w:type="dxa"/>
      </w:tblPr>
      <w:tblGrid>
        <w:gridCol w:w="1700"/>
        <w:gridCol w:w="2700"/>
        <w:gridCol w:w="3400"/>
        <w:gridCol w:w="1700"/>
      </w:tblGrid>
      <w:tr>
        <w:trPr>
          <w:tblHeader w:val="true"/>
          <w:cantSplit/>
        </w:trPr>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GATE</w:t>
            </w:r>
          </w:p>
        </w:tc>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QUESTION</w:t>
            </w:r>
          </w:p>
        </w:tc>
        <w:tc>
          <w:tcPr>
            <w:tcW w:type="dxa" w:w="3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 MINIMALE</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G0 · Évidence</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Le testnet est-il traçable ?</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Commit, adresses, rôles, bytecodes</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Continuer / corriger</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G1 · Problème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Une perte mesurable existe-t-elle ?</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Workflows, décideurs, budget</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Piloter / arrêter</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G2 · Objectivité</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Le résultat est-il déterministe ?</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Template, exceptions, tests adversariaux</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Automatiser / manuel</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G3 · Produit</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Le pilote crée-t-il de la valeur ?</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Résultats, coût, volonté de poursuivre</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Bêta / pivoter</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G4 · Sécurité</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Le système peut-il gérer de la valeur ?</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Audit, remédiation, opérations</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Caps / pas de mainnet</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G5 · Juridique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Le modèle est-il opérable ?</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Avis écrit, contrats, données</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Lancer / restreindre</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G6 · VERIDIA</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 actif natif est-il indispensable ?</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Nécessité ≥ 6/10 et stress tests</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Activer / dormant</w:t>
            </w:r>
          </w:p>
        </w:tc>
      </w:tr>
    </w:tbl>
    <w:p>
      <w:pPr>
        <w:spacing w:after="40"/>
      </w:pPr>
    </w:p>
    <w:p>
      <w:pPr>
        <w:pStyle w:val="Heading2"/>
      </w:pPr>
      <w:r>
        <w:t>Principes de séquence</w:t>
      </w:r>
    </w:p>
    <w:p>
      <w:pPr>
        <w:numPr>
          <w:ilvl w:val="0"/>
          <w:numId w:val="16"/>
        </w:numPr>
        <w:spacing w:after="80" w:line="283" w:lineRule="auto"/>
      </w:pPr>
      <w:r>
        <w:rPr>
          <w:rFonts w:ascii="Arial" w:hAnsi="Arial" w:eastAsia="Arial"/>
          <w:color w:val="162019"/>
          <w:sz w:val="20"/>
        </w:rPr>
        <w:t>Un produit avant un token : ALPHA doit être viable sans achat de VERIDIA.</w:t>
      </w:r>
    </w:p>
    <w:p>
      <w:pPr>
        <w:numPr>
          <w:ilvl w:val="0"/>
          <w:numId w:val="16"/>
        </w:numPr>
        <w:spacing w:after="80" w:line="283" w:lineRule="auto"/>
      </w:pPr>
      <w:r>
        <w:rPr>
          <w:rFonts w:ascii="Arial" w:hAnsi="Arial" w:eastAsia="Arial"/>
          <w:color w:val="162019"/>
          <w:sz w:val="20"/>
        </w:rPr>
        <w:t>Une hypothèse à la fois : un seul template d’engagement avant extension.</w:t>
      </w:r>
    </w:p>
    <w:p>
      <w:pPr>
        <w:numPr>
          <w:ilvl w:val="0"/>
          <w:numId w:val="16"/>
        </w:numPr>
        <w:spacing w:after="80" w:line="283" w:lineRule="auto"/>
      </w:pPr>
      <w:r>
        <w:rPr>
          <w:rFonts w:ascii="Arial" w:hAnsi="Arial" w:eastAsia="Arial"/>
          <w:color w:val="162019"/>
          <w:sz w:val="20"/>
        </w:rPr>
        <w:t>Aucun mainnet par inertie : sécurité, opérations, usage et droit sont des gates.</w:t>
      </w:r>
    </w:p>
    <w:p>
      <w:pPr>
        <w:numPr>
          <w:ilvl w:val="0"/>
          <w:numId w:val="16"/>
        </w:numPr>
        <w:spacing w:after="80" w:line="283" w:lineRule="auto"/>
      </w:pPr>
      <w:r>
        <w:rPr>
          <w:rFonts w:ascii="Arial" w:hAnsi="Arial" w:eastAsia="Arial"/>
          <w:color w:val="162019"/>
          <w:sz w:val="20"/>
        </w:rPr>
        <w:t>R1 et la préparation de l’audit avancent en parallèle ; aucune ne remplace l’autre.</w:t>
      </w:r>
    </w:p>
    <w:p>
      <w:r>
        <w:br w:type="page"/>
      </w:r>
    </w:p>
    <w:p>
      <w:pPr>
        <w:keepNext/>
        <w:spacing w:before="440" w:after="100"/>
      </w:pPr>
      <w:r>
        <w:rPr>
          <w:rFonts w:ascii="Arial" w:hAnsi="Arial" w:eastAsia="Arial"/>
          <w:b/>
          <w:color w:val="C6A15B"/>
          <w:sz w:val="16"/>
        </w:rPr>
        <w:t>CHAPITRE R0</w:t>
      </w:r>
    </w:p>
    <w:p>
      <w:pPr>
        <w:pStyle w:val="Heading1"/>
        <w:pageBreakBefore w:val="0"/>
      </w:pPr>
      <w:r>
        <w:t>Réconciliation du testnet</w:t>
      </w:r>
    </w:p>
    <w:p>
      <w:pPr>
        <w:keepNext/>
        <w:spacing w:after="320"/>
      </w:pPr>
      <w:r>
        <w:rPr>
          <w:rFonts w:ascii="Arial" w:hAnsi="Arial" w:eastAsia="Arial"/>
          <w:i/>
          <w:color w:val="66736B"/>
          <w:sz w:val="25"/>
        </w:rPr>
        <w:t>Transformer le déploiement Base Sepolia déclaré en baseline reproductible et vérifiable.</w:t>
      </w:r>
    </w:p>
    <w:p>
      <w:pPr>
        <w:spacing w:before="100" w:after="180" w:line="283" w:lineRule="auto"/>
        <w:ind w:left="227" w:right="170"/>
        <w:shd w:fill="F6F0E3"/>
        <w:pBdr>
          <w:left w:val="single" w:sz="18" w:space="8" w:color="C6A15B"/>
        </w:pBdr>
      </w:pPr>
      <w:r>
        <w:rPr>
          <w:rFonts w:ascii="Arial" w:hAnsi="Arial" w:eastAsia="Arial"/>
          <w:b/>
          <w:color w:val="C6A15B"/>
          <w:sz w:val="16"/>
        </w:rPr>
        <w:t>FENÊTRE INDICATIVE</w:t>
        <w:br/>
      </w:r>
      <w:r>
        <w:rPr>
          <w:rFonts w:ascii="Arial" w:hAnsi="Arial" w:eastAsia="Arial"/>
          <w:b w:val="0"/>
          <w:color w:val="162019"/>
          <w:sz w:val="20"/>
        </w:rPr>
        <w:t>Septembre 2026 — fenêtre initiale de consolidation. Les critères de sortie priment sur le calendrier.</w:t>
      </w:r>
    </w:p>
    <w:p>
      <w:pPr>
        <w:pStyle w:val="Heading2"/>
      </w:pPr>
      <w:r>
        <w:t>Livrables prioritaires</w:t>
      </w:r>
    </w:p>
    <w:p>
      <w:pPr>
        <w:numPr>
          <w:ilvl w:val="0"/>
          <w:numId w:val="16"/>
        </w:numPr>
        <w:spacing w:after="80" w:line="283" w:lineRule="auto"/>
      </w:pPr>
      <w:r>
        <w:rPr>
          <w:rFonts w:ascii="Arial" w:hAnsi="Arial" w:eastAsia="Arial"/>
          <w:color w:val="162019"/>
          <w:sz w:val="20"/>
        </w:rPr>
        <w:t>Renseigner dépôt, commit, tag, compilateur, paramètres et dépendances.</w:t>
      </w:r>
    </w:p>
    <w:p>
      <w:pPr>
        <w:numPr>
          <w:ilvl w:val="0"/>
          <w:numId w:val="16"/>
        </w:numPr>
        <w:spacing w:after="80" w:line="283" w:lineRule="auto"/>
      </w:pPr>
      <w:r>
        <w:rPr>
          <w:rFonts w:ascii="Arial" w:hAnsi="Arial" w:eastAsia="Arial"/>
          <w:color w:val="162019"/>
          <w:sz w:val="20"/>
        </w:rPr>
        <w:t>Consolider le registre Base Sepolia : contrats, transactions, blocs et liens d’explorateur.</w:t>
      </w:r>
    </w:p>
    <w:p>
      <w:pPr>
        <w:numPr>
          <w:ilvl w:val="0"/>
          <w:numId w:val="16"/>
        </w:numPr>
        <w:spacing w:after="80" w:line="283" w:lineRule="auto"/>
      </w:pPr>
      <w:r>
        <w:rPr>
          <w:rFonts w:ascii="Arial" w:hAnsi="Arial" w:eastAsia="Arial"/>
          <w:color w:val="162019"/>
          <w:sz w:val="20"/>
        </w:rPr>
        <w:t>Rapprocher sources, ABI, artefacts et bytecode runtime local/on-chain.</w:t>
      </w:r>
    </w:p>
    <w:p>
      <w:pPr>
        <w:numPr>
          <w:ilvl w:val="0"/>
          <w:numId w:val="16"/>
        </w:numPr>
        <w:spacing w:after="80" w:line="283" w:lineRule="auto"/>
      </w:pPr>
      <w:r>
        <w:rPr>
          <w:rFonts w:ascii="Arial" w:hAnsi="Arial" w:eastAsia="Arial"/>
          <w:color w:val="162019"/>
          <w:sz w:val="20"/>
        </w:rPr>
        <w:t>Exporter tous les rôles, propriétaires et capacités privilégiées.</w:t>
      </w:r>
    </w:p>
    <w:p>
      <w:pPr>
        <w:numPr>
          <w:ilvl w:val="0"/>
          <w:numId w:val="16"/>
        </w:numPr>
        <w:spacing w:after="80" w:line="283" w:lineRule="auto"/>
      </w:pPr>
      <w:r>
        <w:rPr>
          <w:rFonts w:ascii="Arial" w:hAnsi="Arial" w:eastAsia="Arial"/>
          <w:color w:val="162019"/>
          <w:sz w:val="20"/>
        </w:rPr>
        <w:t>Joindre les preuves Phase 3B, Phase 3.E et Release Candidate disponibles.</w:t>
      </w:r>
    </w:p>
    <w:p>
      <w:pPr>
        <w:numPr>
          <w:ilvl w:val="0"/>
          <w:numId w:val="16"/>
        </w:numPr>
        <w:spacing w:after="80" w:line="283" w:lineRule="auto"/>
      </w:pPr>
      <w:r>
        <w:rPr>
          <w:rFonts w:ascii="Arial" w:hAnsi="Arial" w:eastAsia="Arial"/>
          <w:color w:val="162019"/>
          <w:sz w:val="20"/>
        </w:rPr>
        <w:t>Geler une baseline testnet immuable après revue interne.</w:t>
      </w:r>
    </w:p>
    <w:p>
      <w:pPr>
        <w:pStyle w:val="Heading2"/>
      </w:pPr>
      <w:r>
        <w:t>Critères de sortie</w:t>
      </w:r>
    </w:p>
    <w:p>
      <w:pPr>
        <w:numPr>
          <w:ilvl w:val="0"/>
          <w:numId w:val="18"/>
        </w:numPr>
        <w:spacing w:after="80" w:line="283" w:lineRule="auto"/>
      </w:pPr>
      <w:r>
        <w:rPr>
          <w:rFonts w:ascii="Arial" w:hAnsi="Arial" w:eastAsia="Arial"/>
          <w:color w:val="162019"/>
          <w:sz w:val="20"/>
        </w:rPr>
        <w:t>100 % des composants in-scope sont rattachés à une version et une adresse.</w:t>
      </w:r>
    </w:p>
    <w:p>
      <w:pPr>
        <w:numPr>
          <w:ilvl w:val="0"/>
          <w:numId w:val="18"/>
        </w:numPr>
        <w:spacing w:after="80" w:line="283" w:lineRule="auto"/>
      </w:pPr>
      <w:r>
        <w:rPr>
          <w:rFonts w:ascii="Arial" w:hAnsi="Arial" w:eastAsia="Arial"/>
          <w:color w:val="162019"/>
          <w:sz w:val="20"/>
        </w:rPr>
        <w:t>Le build est reproductible depuis un environnement vierge.</w:t>
      </w:r>
    </w:p>
    <w:p>
      <w:pPr>
        <w:numPr>
          <w:ilvl w:val="0"/>
          <w:numId w:val="18"/>
        </w:numPr>
        <w:spacing w:after="80" w:line="283" w:lineRule="auto"/>
      </w:pPr>
      <w:r>
        <w:rPr>
          <w:rFonts w:ascii="Arial" w:hAnsi="Arial" w:eastAsia="Arial"/>
          <w:color w:val="162019"/>
          <w:sz w:val="20"/>
        </w:rPr>
        <w:t>Aucun secret, rôle orphelin ou pouvoir inexpliqué n’est présent.</w:t>
      </w:r>
    </w:p>
    <w:p>
      <w:pPr>
        <w:numPr>
          <w:ilvl w:val="0"/>
          <w:numId w:val="18"/>
        </w:numPr>
        <w:spacing w:after="80" w:line="283" w:lineRule="auto"/>
      </w:pPr>
      <w:r>
        <w:rPr>
          <w:rFonts w:ascii="Arial" w:hAnsi="Arial" w:eastAsia="Arial"/>
          <w:color w:val="162019"/>
          <w:sz w:val="20"/>
        </w:rPr>
        <w:t>Les divergences entre documents et état on-chain sont fermées ou enregistrées.</w:t>
      </w:r>
    </w:p>
    <w:p>
      <w:pPr>
        <w:pStyle w:val="Heading2"/>
      </w:pPr>
      <w:r>
        <w:t>Retour, arrêt ou restriction</w:t>
      </w:r>
    </w:p>
    <w:p>
      <w:pPr>
        <w:numPr>
          <w:ilvl w:val="0"/>
          <w:numId w:val="16"/>
        </w:numPr>
        <w:spacing w:after="80" w:line="283" w:lineRule="auto"/>
      </w:pPr>
      <w:r>
        <w:rPr>
          <w:rFonts w:ascii="Arial" w:hAnsi="Arial" w:eastAsia="Arial"/>
          <w:color w:val="162019"/>
          <w:sz w:val="20"/>
        </w:rPr>
        <w:t>Adresse ou implémentation inconnue ;</w:t>
      </w:r>
    </w:p>
    <w:p>
      <w:pPr>
        <w:numPr>
          <w:ilvl w:val="0"/>
          <w:numId w:val="16"/>
        </w:numPr>
        <w:spacing w:after="80" w:line="283" w:lineRule="auto"/>
      </w:pPr>
      <w:r>
        <w:rPr>
          <w:rFonts w:ascii="Arial" w:hAnsi="Arial" w:eastAsia="Arial"/>
          <w:color w:val="162019"/>
          <w:sz w:val="20"/>
        </w:rPr>
        <w:t>bytecode non reproductible ;</w:t>
      </w:r>
    </w:p>
    <w:p>
      <w:pPr>
        <w:numPr>
          <w:ilvl w:val="0"/>
          <w:numId w:val="16"/>
        </w:numPr>
        <w:spacing w:after="80" w:line="283" w:lineRule="auto"/>
      </w:pPr>
      <w:r>
        <w:rPr>
          <w:rFonts w:ascii="Arial" w:hAnsi="Arial" w:eastAsia="Arial"/>
          <w:color w:val="162019"/>
          <w:sz w:val="20"/>
        </w:rPr>
        <w:t>rôle privilégié non attribué ;</w:t>
      </w:r>
    </w:p>
    <w:p>
      <w:pPr>
        <w:numPr>
          <w:ilvl w:val="0"/>
          <w:numId w:val="16"/>
        </w:numPr>
        <w:spacing w:after="80" w:line="283" w:lineRule="auto"/>
      </w:pPr>
      <w:r>
        <w:rPr>
          <w:rFonts w:ascii="Arial" w:hAnsi="Arial" w:eastAsia="Arial"/>
          <w:color w:val="162019"/>
          <w:sz w:val="20"/>
        </w:rPr>
        <w:t>preuve de PASS impossible à rattacher au commit candidat.</w:t>
      </w:r>
    </w:p>
    <w:p>
      <w:r>
        <w:br w:type="page"/>
      </w:r>
    </w:p>
    <w:p>
      <w:pPr>
        <w:keepNext/>
        <w:spacing w:before="440" w:after="100"/>
      </w:pPr>
      <w:r>
        <w:rPr>
          <w:rFonts w:ascii="Arial" w:hAnsi="Arial" w:eastAsia="Arial"/>
          <w:b/>
          <w:color w:val="C6A15B"/>
          <w:sz w:val="16"/>
        </w:rPr>
        <w:t>CHAPITRE R1</w:t>
      </w:r>
    </w:p>
    <w:p>
      <w:pPr>
        <w:pStyle w:val="Heading1"/>
        <w:pageBreakBefore w:val="0"/>
      </w:pPr>
      <w:r>
        <w:t>Preuve du problème</w:t>
      </w:r>
    </w:p>
    <w:p>
      <w:pPr>
        <w:keepNext/>
        <w:spacing w:after="320"/>
      </w:pPr>
      <w:r>
        <w:rPr>
          <w:rFonts w:ascii="Arial" w:hAnsi="Arial" w:eastAsia="Arial"/>
          <w:i/>
          <w:color w:val="66736B"/>
          <w:sz w:val="25"/>
        </w:rPr>
        <w:t>Valider un problème ALPHA avant d’ajouter une nouvelle complexité technique.</w:t>
      </w:r>
    </w:p>
    <w:p>
      <w:pPr>
        <w:spacing w:before="100" w:after="180" w:line="283" w:lineRule="auto"/>
        <w:ind w:left="227" w:right="170"/>
        <w:shd w:fill="F6F0E3"/>
        <w:pBdr>
          <w:left w:val="single" w:sz="18" w:space="8" w:color="C6A15B"/>
        </w:pBdr>
      </w:pPr>
      <w:r>
        <w:rPr>
          <w:rFonts w:ascii="Arial" w:hAnsi="Arial" w:eastAsia="Arial"/>
          <w:b/>
          <w:color w:val="C6A15B"/>
          <w:sz w:val="16"/>
        </w:rPr>
        <w:t>FENÊTRE INDICATIVE</w:t>
        <w:br/>
      </w:r>
      <w:r>
        <w:rPr>
          <w:rFonts w:ascii="Arial" w:hAnsi="Arial" w:eastAsia="Arial"/>
          <w:b w:val="0"/>
          <w:color w:val="162019"/>
          <w:sz w:val="20"/>
        </w:rPr>
        <w:t>Septembre à octobre 2026 — fenêtre indicative de discovery. Les critères de sortie priment sur le calendrier.</w:t>
      </w:r>
    </w:p>
    <w:p>
      <w:pPr>
        <w:pStyle w:val="Heading2"/>
      </w:pPr>
      <w:r>
        <w:t>Livrables prioritaires</w:t>
      </w:r>
    </w:p>
    <w:p>
      <w:pPr>
        <w:numPr>
          <w:ilvl w:val="0"/>
          <w:numId w:val="16"/>
        </w:numPr>
        <w:spacing w:after="80" w:line="283" w:lineRule="auto"/>
      </w:pPr>
      <w:r>
        <w:rPr>
          <w:rFonts w:ascii="Arial" w:hAnsi="Arial" w:eastAsia="Arial"/>
          <w:color w:val="162019"/>
          <w:sz w:val="20"/>
        </w:rPr>
        <w:t>Définir l’ICP : organisation EVM ou workflow numérique avec échéance, perte identifiable et décideur accessible.</w:t>
      </w:r>
    </w:p>
    <w:p>
      <w:pPr>
        <w:numPr>
          <w:ilvl w:val="0"/>
          <w:numId w:val="16"/>
        </w:numPr>
        <w:spacing w:after="80" w:line="283" w:lineRule="auto"/>
      </w:pPr>
      <w:r>
        <w:rPr>
          <w:rFonts w:ascii="Arial" w:hAnsi="Arial" w:eastAsia="Arial"/>
          <w:color w:val="162019"/>
          <w:sz w:val="20"/>
        </w:rPr>
        <w:t>Réaliser 15 à 20 entretiens, dont au moins 10 avec un responsable opérationnel ou budgétaire.</w:t>
      </w:r>
    </w:p>
    <w:p>
      <w:pPr>
        <w:numPr>
          <w:ilvl w:val="0"/>
          <w:numId w:val="16"/>
        </w:numPr>
        <w:spacing w:after="80" w:line="283" w:lineRule="auto"/>
      </w:pPr>
      <w:r>
        <w:rPr>
          <w:rFonts w:ascii="Arial" w:hAnsi="Arial" w:eastAsia="Arial"/>
          <w:color w:val="162019"/>
          <w:sz w:val="20"/>
        </w:rPr>
        <w:t>Observer cinq workflows réels et documenter outils, incidents, coûts et solutions actuelles.</w:t>
      </w:r>
    </w:p>
    <w:p>
      <w:pPr>
        <w:numPr>
          <w:ilvl w:val="0"/>
          <w:numId w:val="16"/>
        </w:numPr>
        <w:spacing w:after="80" w:line="283" w:lineRule="auto"/>
      </w:pPr>
      <w:r>
        <w:rPr>
          <w:rFonts w:ascii="Arial" w:hAnsi="Arial" w:eastAsia="Arial"/>
          <w:color w:val="162019"/>
          <w:sz w:val="20"/>
        </w:rPr>
        <w:t>Tester un service manuel tokenless et la volonté de signer un pilote borné.</w:t>
      </w:r>
    </w:p>
    <w:p>
      <w:pPr>
        <w:numPr>
          <w:ilvl w:val="0"/>
          <w:numId w:val="16"/>
        </w:numPr>
        <w:spacing w:after="80" w:line="283" w:lineRule="auto"/>
      </w:pPr>
      <w:r>
        <w:rPr>
          <w:rFonts w:ascii="Arial" w:hAnsi="Arial" w:eastAsia="Arial"/>
          <w:color w:val="162019"/>
          <w:sz w:val="20"/>
        </w:rPr>
        <w:t>Comparer ALPHA à un bot interne, une automatisation existante et un SLA contractuel.</w:t>
      </w:r>
    </w:p>
    <w:p>
      <w:pPr>
        <w:pStyle w:val="Heading2"/>
      </w:pPr>
      <w:r>
        <w:t>Critères de sortie</w:t>
      </w:r>
    </w:p>
    <w:p>
      <w:pPr>
        <w:numPr>
          <w:ilvl w:val="0"/>
          <w:numId w:val="19"/>
        </w:numPr>
        <w:spacing w:after="80" w:line="283" w:lineRule="auto"/>
      </w:pPr>
      <w:r>
        <w:rPr>
          <w:rFonts w:ascii="Arial" w:hAnsi="Arial" w:eastAsia="Arial"/>
          <w:color w:val="162019"/>
          <w:sz w:val="20"/>
        </w:rPr>
        <w:t>Trois entretiens confirment le même workflow et une perte mesurable.</w:t>
      </w:r>
    </w:p>
    <w:p>
      <w:pPr>
        <w:numPr>
          <w:ilvl w:val="0"/>
          <w:numId w:val="19"/>
        </w:numPr>
        <w:spacing w:after="80" w:line="283" w:lineRule="auto"/>
      </w:pPr>
      <w:r>
        <w:rPr>
          <w:rFonts w:ascii="Arial" w:hAnsi="Arial" w:eastAsia="Arial"/>
          <w:color w:val="162019"/>
          <w:sz w:val="20"/>
        </w:rPr>
        <w:t>Deux décideurs acceptent un pilote défini, même non financier.</w:t>
      </w:r>
    </w:p>
    <w:p>
      <w:pPr>
        <w:numPr>
          <w:ilvl w:val="0"/>
          <w:numId w:val="19"/>
        </w:numPr>
        <w:spacing w:after="80" w:line="283" w:lineRule="auto"/>
      </w:pPr>
      <w:r>
        <w:rPr>
          <w:rFonts w:ascii="Arial" w:hAnsi="Arial" w:eastAsia="Arial"/>
          <w:color w:val="162019"/>
          <w:sz w:val="20"/>
        </w:rPr>
        <w:t>Un template unique est retenu : cible, action, deadline, exceptions et plafond.</w:t>
      </w:r>
    </w:p>
    <w:p>
      <w:pPr>
        <w:numPr>
          <w:ilvl w:val="0"/>
          <w:numId w:val="19"/>
        </w:numPr>
        <w:spacing w:after="80" w:line="283" w:lineRule="auto"/>
      </w:pPr>
      <w:r>
        <w:rPr>
          <w:rFonts w:ascii="Arial" w:hAnsi="Arial" w:eastAsia="Arial"/>
          <w:color w:val="162019"/>
          <w:sz w:val="20"/>
        </w:rPr>
        <w:t>Un prix ou une fourchette budgétaire est discuté sans narration spéculative.</w:t>
      </w:r>
    </w:p>
    <w:p>
      <w:pPr>
        <w:pStyle w:val="Heading2"/>
      </w:pPr>
      <w:r>
        <w:t>Retour, arrêt ou restriction</w:t>
      </w:r>
    </w:p>
    <w:p>
      <w:pPr>
        <w:numPr>
          <w:ilvl w:val="0"/>
          <w:numId w:val="16"/>
        </w:numPr>
        <w:spacing w:after="80" w:line="283" w:lineRule="auto"/>
      </w:pPr>
      <w:r>
        <w:rPr>
          <w:rFonts w:ascii="Arial" w:hAnsi="Arial" w:eastAsia="Arial"/>
          <w:color w:val="162019"/>
          <w:sz w:val="20"/>
        </w:rPr>
        <w:t>Aucun décideur ne consacre de temps ou de budget ;</w:t>
      </w:r>
    </w:p>
    <w:p>
      <w:pPr>
        <w:numPr>
          <w:ilvl w:val="0"/>
          <w:numId w:val="16"/>
        </w:numPr>
        <w:spacing w:after="80" w:line="283" w:lineRule="auto"/>
      </w:pPr>
      <w:r>
        <w:rPr>
          <w:rFonts w:ascii="Arial" w:hAnsi="Arial" w:eastAsia="Arial"/>
          <w:color w:val="162019"/>
          <w:sz w:val="20"/>
        </w:rPr>
        <w:t>l’automatisation existante résout correctement le problème ;</w:t>
      </w:r>
    </w:p>
    <w:p>
      <w:pPr>
        <w:numPr>
          <w:ilvl w:val="0"/>
          <w:numId w:val="16"/>
        </w:numPr>
        <w:spacing w:after="80" w:line="283" w:lineRule="auto"/>
      </w:pPr>
      <w:r>
        <w:rPr>
          <w:rFonts w:ascii="Arial" w:hAnsi="Arial" w:eastAsia="Arial"/>
          <w:color w:val="162019"/>
          <w:sz w:val="20"/>
        </w:rPr>
        <w:t>la décision dépend d’une donnée subjective ou non authentifiable ;</w:t>
      </w:r>
    </w:p>
    <w:p>
      <w:pPr>
        <w:numPr>
          <w:ilvl w:val="0"/>
          <w:numId w:val="16"/>
        </w:numPr>
        <w:spacing w:after="80" w:line="283" w:lineRule="auto"/>
      </w:pPr>
      <w:r>
        <w:rPr>
          <w:rFonts w:ascii="Arial" w:hAnsi="Arial" w:eastAsia="Arial"/>
          <w:color w:val="162019"/>
          <w:sz w:val="20"/>
        </w:rPr>
        <w:t>le cas est trop rare pour supporter monitoring et support.</w:t>
      </w:r>
    </w:p>
    <w:p>
      <w:r>
        <w:br w:type="page"/>
      </w:r>
    </w:p>
    <w:p>
      <w:pPr>
        <w:keepNext/>
        <w:spacing w:before="440" w:after="100"/>
      </w:pPr>
      <w:r>
        <w:rPr>
          <w:rFonts w:ascii="Arial" w:hAnsi="Arial" w:eastAsia="Arial"/>
          <w:b/>
          <w:color w:val="C6A15B"/>
          <w:sz w:val="16"/>
        </w:rPr>
        <w:t>CHAPITRE R2</w:t>
      </w:r>
    </w:p>
    <w:p>
      <w:pPr>
        <w:pStyle w:val="Heading1"/>
        <w:pageBreakBefore w:val="0"/>
      </w:pPr>
      <w:r>
        <w:t>Socle opérationnel durable</w:t>
      </w:r>
    </w:p>
    <w:p>
      <w:pPr>
        <w:keepNext/>
        <w:spacing w:after="320"/>
      </w:pPr>
      <w:r>
        <w:rPr>
          <w:rFonts w:ascii="Arial" w:hAnsi="Arial" w:eastAsia="Arial"/>
          <w:i/>
          <w:color w:val="66736B"/>
          <w:sz w:val="25"/>
        </w:rPr>
        <w:t>Remplacer les mécanismes de démonstration par une architecture durable, authentifiée et récupérable.</w:t>
      </w:r>
    </w:p>
    <w:p>
      <w:pPr>
        <w:spacing w:before="100" w:after="180" w:line="283" w:lineRule="auto"/>
        <w:ind w:left="227" w:right="170"/>
        <w:shd w:fill="F6F0E3"/>
        <w:pBdr>
          <w:left w:val="single" w:sz="18" w:space="8" w:color="C6A15B"/>
        </w:pBdr>
      </w:pPr>
      <w:r>
        <w:rPr>
          <w:rFonts w:ascii="Arial" w:hAnsi="Arial" w:eastAsia="Arial"/>
          <w:b/>
          <w:color w:val="C6A15B"/>
          <w:sz w:val="16"/>
        </w:rPr>
        <w:t>FENÊTRE INDICATIVE</w:t>
        <w:br/>
      </w:r>
      <w:r>
        <w:rPr>
          <w:rFonts w:ascii="Arial" w:hAnsi="Arial" w:eastAsia="Arial"/>
          <w:b w:val="0"/>
          <w:color w:val="162019"/>
          <w:sz w:val="20"/>
        </w:rPr>
        <w:t>Octobre à décembre 2026 — conditionné aux écarts techniques prioritaires. Les critères de sortie priment sur le calendrier.</w:t>
      </w:r>
    </w:p>
    <w:p>
      <w:pPr>
        <w:pStyle w:val="Heading2"/>
      </w:pPr>
      <w:r>
        <w:t>Livrables prioritaires</w:t>
      </w:r>
    </w:p>
    <w:p>
      <w:pPr>
        <w:numPr>
          <w:ilvl w:val="0"/>
          <w:numId w:val="16"/>
        </w:numPr>
        <w:spacing w:after="80" w:line="283" w:lineRule="auto"/>
      </w:pPr>
      <w:r>
        <w:rPr>
          <w:rFonts w:ascii="Arial" w:hAnsi="Arial" w:eastAsia="Arial"/>
          <w:color w:val="162019"/>
          <w:sz w:val="20"/>
        </w:rPr>
        <w:t>Mettre en place persistance transactionnelle, migrations et contraintes d’unicité.</w:t>
      </w:r>
    </w:p>
    <w:p>
      <w:pPr>
        <w:numPr>
          <w:ilvl w:val="0"/>
          <w:numId w:val="16"/>
        </w:numPr>
        <w:spacing w:after="80" w:line="283" w:lineRule="auto"/>
      </w:pPr>
      <w:r>
        <w:rPr>
          <w:rFonts w:ascii="Arial" w:hAnsi="Arial" w:eastAsia="Arial"/>
          <w:color w:val="162019"/>
          <w:sz w:val="20"/>
        </w:rPr>
        <w:t>Garantir une idempotence durable pour requêtes, preuves, décisions et retraitements.</w:t>
      </w:r>
    </w:p>
    <w:p>
      <w:pPr>
        <w:numPr>
          <w:ilvl w:val="0"/>
          <w:numId w:val="16"/>
        </w:numPr>
        <w:spacing w:after="80" w:line="283" w:lineRule="auto"/>
      </w:pPr>
      <w:r>
        <w:rPr>
          <w:rFonts w:ascii="Arial" w:hAnsi="Arial" w:eastAsia="Arial"/>
          <w:color w:val="162019"/>
          <w:sz w:val="20"/>
        </w:rPr>
        <w:t>Appliquer signatures EIP-712, nonces, domain separation, chain ID et ERC-1271 si nécessaire.</w:t>
      </w:r>
    </w:p>
    <w:p>
      <w:pPr>
        <w:numPr>
          <w:ilvl w:val="0"/>
          <w:numId w:val="16"/>
        </w:numPr>
        <w:spacing w:after="80" w:line="283" w:lineRule="auto"/>
      </w:pPr>
      <w:r>
        <w:rPr>
          <w:rFonts w:ascii="Arial" w:hAnsi="Arial" w:eastAsia="Arial"/>
          <w:color w:val="162019"/>
          <w:sz w:val="20"/>
        </w:rPr>
        <w:t>Créer le registre des collecteurs, capacités, politiques et révocations.</w:t>
      </w:r>
    </w:p>
    <w:p>
      <w:pPr>
        <w:numPr>
          <w:ilvl w:val="0"/>
          <w:numId w:val="16"/>
        </w:numPr>
        <w:spacing w:after="80" w:line="283" w:lineRule="auto"/>
      </w:pPr>
      <w:r>
        <w:rPr>
          <w:rFonts w:ascii="Arial" w:hAnsi="Arial" w:eastAsia="Arial"/>
          <w:color w:val="162019"/>
          <w:sz w:val="20"/>
        </w:rPr>
        <w:t>Ajouter multi-RPC, finalité, reorg/replay, logs, traces, alertes et tableaux de bord.</w:t>
      </w:r>
    </w:p>
    <w:p>
      <w:pPr>
        <w:numPr>
          <w:ilvl w:val="0"/>
          <w:numId w:val="16"/>
        </w:numPr>
        <w:spacing w:after="80" w:line="283" w:lineRule="auto"/>
      </w:pPr>
      <w:r>
        <w:rPr>
          <w:rFonts w:ascii="Arial" w:hAnsi="Arial" w:eastAsia="Arial"/>
          <w:color w:val="162019"/>
          <w:sz w:val="20"/>
        </w:rPr>
        <w:t>Tester sauvegarde, restauration, perte de nœud et reprise après incident.</w:t>
      </w:r>
    </w:p>
    <w:p>
      <w:pPr>
        <w:pStyle w:val="Heading2"/>
      </w:pPr>
      <w:r>
        <w:t>Critères de sortie</w:t>
      </w:r>
    </w:p>
    <w:p>
      <w:pPr>
        <w:numPr>
          <w:ilvl w:val="0"/>
          <w:numId w:val="20"/>
        </w:numPr>
        <w:spacing w:after="80" w:line="283" w:lineRule="auto"/>
      </w:pPr>
      <w:r>
        <w:rPr>
          <w:rFonts w:ascii="Arial" w:hAnsi="Arial" w:eastAsia="Arial"/>
          <w:color w:val="162019"/>
          <w:sz w:val="20"/>
        </w:rPr>
        <w:t>Redémarrage sans perte ni double traitement.</w:t>
      </w:r>
    </w:p>
    <w:p>
      <w:pPr>
        <w:numPr>
          <w:ilvl w:val="0"/>
          <w:numId w:val="20"/>
        </w:numPr>
        <w:spacing w:after="80" w:line="283" w:lineRule="auto"/>
      </w:pPr>
      <w:r>
        <w:rPr>
          <w:rFonts w:ascii="Arial" w:hAnsi="Arial" w:eastAsia="Arial"/>
          <w:color w:val="162019"/>
          <w:sz w:val="20"/>
        </w:rPr>
        <w:t>Réorganisation gérée de manière déterministe.</w:t>
      </w:r>
    </w:p>
    <w:p>
      <w:pPr>
        <w:numPr>
          <w:ilvl w:val="0"/>
          <w:numId w:val="20"/>
        </w:numPr>
        <w:spacing w:after="80" w:line="283" w:lineRule="auto"/>
      </w:pPr>
      <w:r>
        <w:rPr>
          <w:rFonts w:ascii="Arial" w:hAnsi="Arial" w:eastAsia="Arial"/>
          <w:color w:val="162019"/>
          <w:sz w:val="20"/>
        </w:rPr>
        <w:t>Chaque acteur sensible est authentifié et chaque transition est auditée.</w:t>
      </w:r>
    </w:p>
    <w:p>
      <w:pPr>
        <w:numPr>
          <w:ilvl w:val="0"/>
          <w:numId w:val="20"/>
        </w:numPr>
        <w:spacing w:after="80" w:line="283" w:lineRule="auto"/>
      </w:pPr>
      <w:r>
        <w:rPr>
          <w:rFonts w:ascii="Arial" w:hAnsi="Arial" w:eastAsia="Arial"/>
          <w:color w:val="162019"/>
          <w:sz w:val="20"/>
        </w:rPr>
        <w:t>Tests de charge, chaos, restauration et sécurité passent sur staging.</w:t>
      </w:r>
    </w:p>
    <w:p>
      <w:pPr>
        <w:pStyle w:val="Heading2"/>
      </w:pPr>
      <w:r>
        <w:t>Retour, arrêt ou restriction</w:t>
      </w:r>
    </w:p>
    <w:p>
      <w:pPr>
        <w:numPr>
          <w:ilvl w:val="0"/>
          <w:numId w:val="16"/>
        </w:numPr>
        <w:spacing w:after="80" w:line="283" w:lineRule="auto"/>
      </w:pPr>
      <w:r>
        <w:rPr>
          <w:rFonts w:ascii="Arial" w:hAnsi="Arial" w:eastAsia="Arial"/>
          <w:color w:val="162019"/>
          <w:sz w:val="20"/>
        </w:rPr>
        <w:t>Données impossibles à réconcilier après panne ou reorg ;</w:t>
      </w:r>
    </w:p>
    <w:p>
      <w:pPr>
        <w:numPr>
          <w:ilvl w:val="0"/>
          <w:numId w:val="16"/>
        </w:numPr>
        <w:spacing w:after="80" w:line="283" w:lineRule="auto"/>
      </w:pPr>
      <w:r>
        <w:rPr>
          <w:rFonts w:ascii="Arial" w:hAnsi="Arial" w:eastAsia="Arial"/>
          <w:color w:val="162019"/>
          <w:sz w:val="20"/>
        </w:rPr>
        <w:t>signature rejouable entre chaînes, versions ou contrats ;</w:t>
      </w:r>
    </w:p>
    <w:p>
      <w:pPr>
        <w:numPr>
          <w:ilvl w:val="0"/>
          <w:numId w:val="16"/>
        </w:numPr>
        <w:spacing w:after="80" w:line="283" w:lineRule="auto"/>
      </w:pPr>
      <w:r>
        <w:rPr>
          <w:rFonts w:ascii="Arial" w:hAnsi="Arial" w:eastAsia="Arial"/>
          <w:color w:val="162019"/>
          <w:sz w:val="20"/>
        </w:rPr>
        <w:t>collecteur unique capable d’attribuer seul une faute ;</w:t>
      </w:r>
    </w:p>
    <w:p>
      <w:pPr>
        <w:numPr>
          <w:ilvl w:val="0"/>
          <w:numId w:val="16"/>
        </w:numPr>
        <w:spacing w:after="80" w:line="283" w:lineRule="auto"/>
      </w:pPr>
      <w:r>
        <w:rPr>
          <w:rFonts w:ascii="Arial" w:hAnsi="Arial" w:eastAsia="Arial"/>
          <w:color w:val="162019"/>
          <w:sz w:val="20"/>
        </w:rPr>
        <w:t>secret durable présent dans le code, les logs ou le client.</w:t>
      </w:r>
    </w:p>
    <w:p>
      <w:r>
        <w:br w:type="page"/>
      </w:r>
    </w:p>
    <w:p>
      <w:pPr>
        <w:keepNext/>
        <w:spacing w:before="440" w:after="100"/>
      </w:pPr>
      <w:r>
        <w:rPr>
          <w:rFonts w:ascii="Arial" w:hAnsi="Arial" w:eastAsia="Arial"/>
          <w:b/>
          <w:color w:val="C6A15B"/>
          <w:sz w:val="16"/>
        </w:rPr>
        <w:t>CHAPITRE R3</w:t>
      </w:r>
    </w:p>
    <w:p>
      <w:pPr>
        <w:pStyle w:val="Heading1"/>
        <w:pageBreakBefore w:val="0"/>
      </w:pPr>
      <w:r>
        <w:t>Pilote externe Base Sepolia</w:t>
      </w:r>
    </w:p>
    <w:p>
      <w:pPr>
        <w:keepNext/>
        <w:spacing w:after="320"/>
      </w:pPr>
      <w:r>
        <w:rPr>
          <w:rFonts w:ascii="Arial" w:hAnsi="Arial" w:eastAsia="Arial"/>
          <w:i/>
          <w:color w:val="66736B"/>
          <w:sz w:val="25"/>
        </w:rPr>
        <w:t>Mesurer la fiabilité et la valeur d’ALPHA sur un workflow réel sans risque financier significatif.</w:t>
      </w:r>
    </w:p>
    <w:p>
      <w:pPr>
        <w:spacing w:before="100" w:after="180" w:line="283" w:lineRule="auto"/>
        <w:ind w:left="227" w:right="170"/>
        <w:shd w:fill="F6F0E3"/>
        <w:pBdr>
          <w:left w:val="single" w:sz="18" w:space="8" w:color="C6A15B"/>
        </w:pBdr>
      </w:pPr>
      <w:r>
        <w:rPr>
          <w:rFonts w:ascii="Arial" w:hAnsi="Arial" w:eastAsia="Arial"/>
          <w:b/>
          <w:color w:val="C6A15B"/>
          <w:sz w:val="16"/>
        </w:rPr>
        <w:t>FENÊTRE INDICATIVE</w:t>
        <w:br/>
      </w:r>
      <w:r>
        <w:rPr>
          <w:rFonts w:ascii="Arial" w:hAnsi="Arial" w:eastAsia="Arial"/>
          <w:b w:val="0"/>
          <w:color w:val="162019"/>
          <w:sz w:val="20"/>
        </w:rPr>
        <w:t>Janvier à mars 2027 — uniquement après R0, R1 et readiness opérationnelle suffisante. Les critères de sortie priment sur le calendrier.</w:t>
      </w:r>
    </w:p>
    <w:p>
      <w:pPr>
        <w:pStyle w:val="Heading2"/>
      </w:pPr>
      <w:r>
        <w:t>Livrables prioritaires</w:t>
      </w:r>
    </w:p>
    <w:p>
      <w:pPr>
        <w:numPr>
          <w:ilvl w:val="0"/>
          <w:numId w:val="16"/>
        </w:numPr>
        <w:spacing w:after="80" w:line="283" w:lineRule="auto"/>
      </w:pPr>
      <w:r>
        <w:rPr>
          <w:rFonts w:ascii="Arial" w:hAnsi="Arial" w:eastAsia="Arial"/>
          <w:color w:val="162019"/>
          <w:sz w:val="20"/>
        </w:rPr>
        <w:t>Onboarder deux ou trois design partners autour d’un seul template d’action.</w:t>
      </w:r>
    </w:p>
    <w:p>
      <w:pPr>
        <w:numPr>
          <w:ilvl w:val="0"/>
          <w:numId w:val="16"/>
        </w:numPr>
        <w:spacing w:after="80" w:line="283" w:lineRule="auto"/>
      </w:pPr>
      <w:r>
        <w:rPr>
          <w:rFonts w:ascii="Arial" w:hAnsi="Arial" w:eastAsia="Arial"/>
          <w:color w:val="162019"/>
          <w:sz w:val="20"/>
        </w:rPr>
        <w:t>Signer un protocole pilote : responsabilités, exclusions, données, support et incidents.</w:t>
      </w:r>
    </w:p>
    <w:p>
      <w:pPr>
        <w:numPr>
          <w:ilvl w:val="0"/>
          <w:numId w:val="16"/>
        </w:numPr>
        <w:spacing w:after="80" w:line="283" w:lineRule="auto"/>
      </w:pPr>
      <w:r>
        <w:rPr>
          <w:rFonts w:ascii="Arial" w:hAnsi="Arial" w:eastAsia="Arial"/>
          <w:color w:val="162019"/>
          <w:sz w:val="20"/>
        </w:rPr>
        <w:t>Créer 30 à 100 engagements testnet et au moins cinq scénarios d’échec contrôlé.</w:t>
      </w:r>
    </w:p>
    <w:p>
      <w:pPr>
        <w:numPr>
          <w:ilvl w:val="0"/>
          <w:numId w:val="16"/>
        </w:numPr>
        <w:spacing w:after="80" w:line="283" w:lineRule="auto"/>
      </w:pPr>
      <w:r>
        <w:rPr>
          <w:rFonts w:ascii="Arial" w:hAnsi="Arial" w:eastAsia="Arial"/>
          <w:color w:val="162019"/>
          <w:sz w:val="20"/>
        </w:rPr>
        <w:t>Mesurer intégration, succès, faux positifs, indéterminés, reorg, disponibilité et coût.</w:t>
      </w:r>
    </w:p>
    <w:p>
      <w:pPr>
        <w:numPr>
          <w:ilvl w:val="0"/>
          <w:numId w:val="16"/>
        </w:numPr>
        <w:spacing w:after="80" w:line="283" w:lineRule="auto"/>
      </w:pPr>
      <w:r>
        <w:rPr>
          <w:rFonts w:ascii="Arial" w:hAnsi="Arial" w:eastAsia="Arial"/>
          <w:color w:val="162019"/>
          <w:sz w:val="20"/>
        </w:rPr>
        <w:t>Comparer avec la meilleure alternative retenue par chaque partenaire.</w:t>
      </w:r>
    </w:p>
    <w:p>
      <w:pPr>
        <w:numPr>
          <w:ilvl w:val="0"/>
          <w:numId w:val="16"/>
        </w:numPr>
        <w:spacing w:after="80" w:line="283" w:lineRule="auto"/>
      </w:pPr>
      <w:r>
        <w:rPr>
          <w:rFonts w:ascii="Arial" w:hAnsi="Arial" w:eastAsia="Arial"/>
          <w:color w:val="162019"/>
          <w:sz w:val="20"/>
        </w:rPr>
        <w:t>Publier un rapport pilote honnête avec incidents, limites et données agrégées.</w:t>
      </w:r>
    </w:p>
    <w:p>
      <w:pPr>
        <w:pStyle w:val="Heading2"/>
      </w:pPr>
      <w:r>
        <w:t>Critères de sortie</w:t>
      </w:r>
    </w:p>
    <w:p>
      <w:pPr>
        <w:numPr>
          <w:ilvl w:val="0"/>
          <w:numId w:val="21"/>
        </w:numPr>
        <w:spacing w:after="80" w:line="283" w:lineRule="auto"/>
      </w:pPr>
      <w:r>
        <w:rPr>
          <w:rFonts w:ascii="Arial" w:hAnsi="Arial" w:eastAsia="Arial"/>
          <w:color w:val="162019"/>
          <w:sz w:val="20"/>
        </w:rPr>
        <w:t>Zéro fausse attribution de faute sur les scénarios connus.</w:t>
      </w:r>
    </w:p>
    <w:p>
      <w:pPr>
        <w:numPr>
          <w:ilvl w:val="0"/>
          <w:numId w:val="21"/>
        </w:numPr>
        <w:spacing w:after="80" w:line="283" w:lineRule="auto"/>
      </w:pPr>
      <w:r>
        <w:rPr>
          <w:rFonts w:ascii="Arial" w:hAnsi="Arial" w:eastAsia="Arial"/>
          <w:color w:val="162019"/>
          <w:sz w:val="20"/>
        </w:rPr>
        <w:t>Toutes les conséquences restent simulées et bornées.</w:t>
      </w:r>
    </w:p>
    <w:p>
      <w:pPr>
        <w:numPr>
          <w:ilvl w:val="0"/>
          <w:numId w:val="21"/>
        </w:numPr>
        <w:spacing w:after="80" w:line="283" w:lineRule="auto"/>
      </w:pPr>
      <w:r>
        <w:rPr>
          <w:rFonts w:ascii="Arial" w:hAnsi="Arial" w:eastAsia="Arial"/>
          <w:color w:val="162019"/>
          <w:sz w:val="20"/>
        </w:rPr>
        <w:t>Au moins un partenaire confirme une valeur et un budget pour poursuivre.</w:t>
      </w:r>
    </w:p>
    <w:p>
      <w:pPr>
        <w:numPr>
          <w:ilvl w:val="0"/>
          <w:numId w:val="21"/>
        </w:numPr>
        <w:spacing w:after="80" w:line="283" w:lineRule="auto"/>
      </w:pPr>
      <w:r>
        <w:rPr>
          <w:rFonts w:ascii="Arial" w:hAnsi="Arial" w:eastAsia="Arial"/>
          <w:color w:val="162019"/>
          <w:sz w:val="20"/>
        </w:rPr>
        <w:t>Les SLO pilotes sont atteints pendant la période convenue.</w:t>
      </w:r>
    </w:p>
    <w:p>
      <w:pPr>
        <w:pStyle w:val="Heading2"/>
      </w:pPr>
      <w:r>
        <w:t>Retour, arrêt ou restriction</w:t>
      </w:r>
    </w:p>
    <w:p>
      <w:pPr>
        <w:numPr>
          <w:ilvl w:val="0"/>
          <w:numId w:val="16"/>
        </w:numPr>
        <w:spacing w:after="80" w:line="283" w:lineRule="auto"/>
      </w:pPr>
      <w:r>
        <w:rPr>
          <w:rFonts w:ascii="Arial" w:hAnsi="Arial" w:eastAsia="Arial"/>
          <w:color w:val="162019"/>
          <w:sz w:val="20"/>
        </w:rPr>
        <w:t>Faux positif économique ou décision impossible à expliquer ;</w:t>
      </w:r>
    </w:p>
    <w:p>
      <w:pPr>
        <w:numPr>
          <w:ilvl w:val="0"/>
          <w:numId w:val="16"/>
        </w:numPr>
        <w:spacing w:after="80" w:line="283" w:lineRule="auto"/>
      </w:pPr>
      <w:r>
        <w:rPr>
          <w:rFonts w:ascii="Arial" w:hAnsi="Arial" w:eastAsia="Arial"/>
          <w:color w:val="162019"/>
          <w:sz w:val="20"/>
        </w:rPr>
        <w:t>aucune différence observable face à un bot ou calendrier ;</w:t>
      </w:r>
    </w:p>
    <w:p>
      <w:pPr>
        <w:numPr>
          <w:ilvl w:val="0"/>
          <w:numId w:val="16"/>
        </w:numPr>
        <w:spacing w:after="80" w:line="283" w:lineRule="auto"/>
      </w:pPr>
      <w:r>
        <w:rPr>
          <w:rFonts w:ascii="Arial" w:hAnsi="Arial" w:eastAsia="Arial"/>
          <w:color w:val="162019"/>
          <w:sz w:val="20"/>
        </w:rPr>
        <w:t>support manuel supérieur à la valeur produite ;</w:t>
      </w:r>
    </w:p>
    <w:p>
      <w:pPr>
        <w:numPr>
          <w:ilvl w:val="0"/>
          <w:numId w:val="16"/>
        </w:numPr>
        <w:spacing w:after="80" w:line="283" w:lineRule="auto"/>
      </w:pPr>
      <w:r>
        <w:rPr>
          <w:rFonts w:ascii="Arial" w:hAnsi="Arial" w:eastAsia="Arial"/>
          <w:color w:val="162019"/>
          <w:sz w:val="20"/>
        </w:rPr>
        <w:t>aucun partenaire ne souhaite poursuivre.</w:t>
      </w:r>
    </w:p>
    <w:p>
      <w:r>
        <w:br w:type="page"/>
      </w:r>
    </w:p>
    <w:p>
      <w:pPr>
        <w:keepNext/>
        <w:spacing w:before="440" w:after="100"/>
      </w:pPr>
      <w:r>
        <w:rPr>
          <w:rFonts w:ascii="Arial" w:hAnsi="Arial" w:eastAsia="Arial"/>
          <w:b/>
          <w:color w:val="C6A15B"/>
          <w:sz w:val="16"/>
        </w:rPr>
        <w:t>CHAPITRE R4</w:t>
      </w:r>
    </w:p>
    <w:p>
      <w:pPr>
        <w:pStyle w:val="Heading1"/>
        <w:pageBreakBefore w:val="0"/>
      </w:pPr>
      <w:r>
        <w:t>Audit indépendant et cadre juridique</w:t>
      </w:r>
    </w:p>
    <w:p>
      <w:pPr>
        <w:keepNext/>
        <w:spacing w:after="320"/>
      </w:pPr>
      <w:r>
        <w:rPr>
          <w:rFonts w:ascii="Arial" w:hAnsi="Arial" w:eastAsia="Arial"/>
          <w:i/>
          <w:color w:val="66736B"/>
          <w:sz w:val="25"/>
        </w:rPr>
        <w:t>Établir si une bêta bornée peut gérer des engagements sans dépasser les capacités techniques, opérationnelles ou juridiques.</w:t>
      </w:r>
    </w:p>
    <w:p>
      <w:pPr>
        <w:spacing w:before="100" w:after="180" w:line="283" w:lineRule="auto"/>
        <w:ind w:left="227" w:right="170"/>
        <w:shd w:fill="F6F0E3"/>
        <w:pBdr>
          <w:left w:val="single" w:sz="18" w:space="8" w:color="C6A15B"/>
        </w:pBdr>
      </w:pPr>
      <w:r>
        <w:rPr>
          <w:rFonts w:ascii="Arial" w:hAnsi="Arial" w:eastAsia="Arial"/>
          <w:b/>
          <w:color w:val="C6A15B"/>
          <w:sz w:val="16"/>
        </w:rPr>
        <w:t>FENÊTRE INDICATIVE</w:t>
        <w:br/>
      </w:r>
      <w:r>
        <w:rPr>
          <w:rFonts w:ascii="Arial" w:hAnsi="Arial" w:eastAsia="Arial"/>
          <w:b w:val="0"/>
          <w:color w:val="162019"/>
          <w:sz w:val="20"/>
        </w:rPr>
        <w:t>Avril à juin 2027 — fenêtre cible, non garantie. Les critères de sortie priment sur le calendrier.</w:t>
      </w:r>
    </w:p>
    <w:p>
      <w:pPr>
        <w:pStyle w:val="Heading2"/>
      </w:pPr>
      <w:r>
        <w:t>Livrables prioritaires</w:t>
      </w:r>
    </w:p>
    <w:p>
      <w:pPr>
        <w:numPr>
          <w:ilvl w:val="0"/>
          <w:numId w:val="16"/>
        </w:numPr>
        <w:spacing w:after="80" w:line="283" w:lineRule="auto"/>
      </w:pPr>
      <w:r>
        <w:rPr>
          <w:rFonts w:ascii="Arial" w:hAnsi="Arial" w:eastAsia="Arial"/>
          <w:color w:val="162019"/>
          <w:sz w:val="20"/>
        </w:rPr>
        <w:t>Figer le scope : contrats, backend, indexer, signatures, déploiement, rôles et modèle économique.</w:t>
      </w:r>
    </w:p>
    <w:p>
      <w:pPr>
        <w:numPr>
          <w:ilvl w:val="0"/>
          <w:numId w:val="16"/>
        </w:numPr>
        <w:spacing w:after="80" w:line="283" w:lineRule="auto"/>
      </w:pPr>
      <w:r>
        <w:rPr>
          <w:rFonts w:ascii="Arial" w:hAnsi="Arial" w:eastAsia="Arial"/>
          <w:color w:val="162019"/>
          <w:sz w:val="20"/>
        </w:rPr>
        <w:t>Commander la revue indépendante, corriger les Critical/High et organiser le retest.</w:t>
      </w:r>
    </w:p>
    <w:p>
      <w:pPr>
        <w:numPr>
          <w:ilvl w:val="0"/>
          <w:numId w:val="16"/>
        </w:numPr>
        <w:spacing w:after="80" w:line="283" w:lineRule="auto"/>
      </w:pPr>
      <w:r>
        <w:rPr>
          <w:rFonts w:ascii="Arial" w:hAnsi="Arial" w:eastAsia="Arial"/>
          <w:color w:val="162019"/>
          <w:sz w:val="20"/>
        </w:rPr>
        <w:t>Mettre en place multisig, séparation des fonctions, délai et procédures d’urgence.</w:t>
      </w:r>
    </w:p>
    <w:p>
      <w:pPr>
        <w:numPr>
          <w:ilvl w:val="0"/>
          <w:numId w:val="16"/>
        </w:numPr>
        <w:spacing w:after="80" w:line="283" w:lineRule="auto"/>
      </w:pPr>
      <w:r>
        <w:rPr>
          <w:rFonts w:ascii="Arial" w:hAnsi="Arial" w:eastAsia="Arial"/>
          <w:color w:val="162019"/>
          <w:sz w:val="20"/>
        </w:rPr>
        <w:t>Obtenir une analyse juridique écrite : données, contrats, escrow, compensation, MiCA/CASP si applicable.</w:t>
      </w:r>
    </w:p>
    <w:p>
      <w:pPr>
        <w:numPr>
          <w:ilvl w:val="0"/>
          <w:numId w:val="16"/>
        </w:numPr>
        <w:spacing w:after="80" w:line="283" w:lineRule="auto"/>
      </w:pPr>
      <w:r>
        <w:rPr>
          <w:rFonts w:ascii="Arial" w:hAnsi="Arial" w:eastAsia="Arial"/>
          <w:color w:val="162019"/>
          <w:sz w:val="20"/>
        </w:rPr>
        <w:t>Finaliser CGU, confidentialité, DPA, SLA, caps et procédure de fermeture ordonnée.</w:t>
      </w:r>
    </w:p>
    <w:p>
      <w:pPr>
        <w:pStyle w:val="Heading2"/>
      </w:pPr>
      <w:r>
        <w:t>Critères de sortie</w:t>
      </w:r>
    </w:p>
    <w:p>
      <w:pPr>
        <w:numPr>
          <w:ilvl w:val="0"/>
          <w:numId w:val="22"/>
        </w:numPr>
        <w:spacing w:after="80" w:line="283" w:lineRule="auto"/>
      </w:pPr>
      <w:r>
        <w:rPr>
          <w:rFonts w:ascii="Arial" w:hAnsi="Arial" w:eastAsia="Arial"/>
          <w:color w:val="162019"/>
          <w:sz w:val="20"/>
        </w:rPr>
        <w:t>Aucun Critical/High ouvert dans le périmètre de lancement.</w:t>
      </w:r>
    </w:p>
    <w:p>
      <w:pPr>
        <w:numPr>
          <w:ilvl w:val="0"/>
          <w:numId w:val="22"/>
        </w:numPr>
        <w:spacing w:after="80" w:line="283" w:lineRule="auto"/>
      </w:pPr>
      <w:r>
        <w:rPr>
          <w:rFonts w:ascii="Arial" w:hAnsi="Arial" w:eastAsia="Arial"/>
          <w:color w:val="162019"/>
          <w:sz w:val="20"/>
        </w:rPr>
        <w:t>Récupération, monitoring et réponse aux incidents sont testés.</w:t>
      </w:r>
    </w:p>
    <w:p>
      <w:pPr>
        <w:numPr>
          <w:ilvl w:val="0"/>
          <w:numId w:val="22"/>
        </w:numPr>
        <w:spacing w:after="80" w:line="283" w:lineRule="auto"/>
      </w:pPr>
      <w:r>
        <w:rPr>
          <w:rFonts w:ascii="Arial" w:hAnsi="Arial" w:eastAsia="Arial"/>
          <w:color w:val="162019"/>
          <w:sz w:val="20"/>
        </w:rPr>
        <w:t>Le modèle exact est autorisé ou limité par un avis juridique écrit.</w:t>
      </w:r>
    </w:p>
    <w:p>
      <w:pPr>
        <w:numPr>
          <w:ilvl w:val="0"/>
          <w:numId w:val="22"/>
        </w:numPr>
        <w:spacing w:after="80" w:line="283" w:lineRule="auto"/>
      </w:pPr>
      <w:r>
        <w:rPr>
          <w:rFonts w:ascii="Arial" w:hAnsi="Arial" w:eastAsia="Arial"/>
          <w:color w:val="162019"/>
          <w:sz w:val="20"/>
        </w:rPr>
        <w:t>Les engagements économiques éventuels sont préfinancés, séparés et plafonnés.</w:t>
      </w:r>
    </w:p>
    <w:p>
      <w:pPr>
        <w:pStyle w:val="Heading2"/>
      </w:pPr>
      <w:r>
        <w:t>Retour, arrêt ou restriction</w:t>
      </w:r>
    </w:p>
    <w:p>
      <w:pPr>
        <w:numPr>
          <w:ilvl w:val="0"/>
          <w:numId w:val="16"/>
        </w:numPr>
        <w:spacing w:after="80" w:line="283" w:lineRule="auto"/>
      </w:pPr>
      <w:r>
        <w:rPr>
          <w:rFonts w:ascii="Arial" w:hAnsi="Arial" w:eastAsia="Arial"/>
          <w:color w:val="162019"/>
          <w:sz w:val="20"/>
        </w:rPr>
        <w:t>Audit non conclu ou périmètre insuffisant ;</w:t>
      </w:r>
    </w:p>
    <w:p>
      <w:pPr>
        <w:numPr>
          <w:ilvl w:val="0"/>
          <w:numId w:val="16"/>
        </w:numPr>
        <w:spacing w:after="80" w:line="283" w:lineRule="auto"/>
      </w:pPr>
      <w:r>
        <w:rPr>
          <w:rFonts w:ascii="Arial" w:hAnsi="Arial" w:eastAsia="Arial"/>
          <w:color w:val="162019"/>
          <w:sz w:val="20"/>
        </w:rPr>
        <w:t>constats majeurs non corrigés ;</w:t>
      </w:r>
    </w:p>
    <w:p>
      <w:pPr>
        <w:numPr>
          <w:ilvl w:val="0"/>
          <w:numId w:val="16"/>
        </w:numPr>
        <w:spacing w:after="80" w:line="283" w:lineRule="auto"/>
      </w:pPr>
      <w:r>
        <w:rPr>
          <w:rFonts w:ascii="Arial" w:hAnsi="Arial" w:eastAsia="Arial"/>
          <w:color w:val="162019"/>
          <w:sz w:val="20"/>
        </w:rPr>
        <w:t>qualification juridique incompatible avec les moyens ;</w:t>
      </w:r>
    </w:p>
    <w:p>
      <w:pPr>
        <w:numPr>
          <w:ilvl w:val="0"/>
          <w:numId w:val="16"/>
        </w:numPr>
        <w:spacing w:after="80" w:line="283" w:lineRule="auto"/>
      </w:pPr>
      <w:r>
        <w:rPr>
          <w:rFonts w:ascii="Arial" w:hAnsi="Arial" w:eastAsia="Arial"/>
          <w:color w:val="162019"/>
          <w:sz w:val="20"/>
        </w:rPr>
        <w:t>absence d’entité, de responsable incident ou de fermeture ordonnée.</w:t>
      </w:r>
    </w:p>
    <w:p>
      <w:r>
        <w:br w:type="page"/>
      </w:r>
    </w:p>
    <w:p>
      <w:pPr>
        <w:keepNext/>
        <w:spacing w:before="440" w:after="100"/>
      </w:pPr>
      <w:r>
        <w:rPr>
          <w:rFonts w:ascii="Arial" w:hAnsi="Arial" w:eastAsia="Arial"/>
          <w:b/>
          <w:color w:val="C6A15B"/>
          <w:sz w:val="16"/>
        </w:rPr>
        <w:t>CHAPITRE R5</w:t>
      </w:r>
    </w:p>
    <w:p>
      <w:pPr>
        <w:pStyle w:val="Heading1"/>
        <w:pageBreakBefore w:val="0"/>
      </w:pPr>
      <w:r>
        <w:t>Bêta production tokenless</w:t>
      </w:r>
    </w:p>
    <w:p>
      <w:pPr>
        <w:keepNext/>
        <w:spacing w:after="320"/>
      </w:pPr>
      <w:r>
        <w:rPr>
          <w:rFonts w:ascii="Arial" w:hAnsi="Arial" w:eastAsia="Arial"/>
          <w:i/>
          <w:color w:val="66736B"/>
          <w:sz w:val="25"/>
        </w:rPr>
        <w:t>Lancer un service limité dont l’économie ne dépend ni d’une vente ni d’un achat de VERIDIA.</w:t>
      </w:r>
    </w:p>
    <w:p>
      <w:pPr>
        <w:spacing w:before="100" w:after="180" w:line="283" w:lineRule="auto"/>
        <w:ind w:left="227" w:right="170"/>
        <w:shd w:fill="F6F0E3"/>
        <w:pBdr>
          <w:left w:val="single" w:sz="18" w:space="8" w:color="C6A15B"/>
        </w:pBdr>
      </w:pPr>
      <w:r>
        <w:rPr>
          <w:rFonts w:ascii="Arial" w:hAnsi="Arial" w:eastAsia="Arial"/>
          <w:b/>
          <w:color w:val="C6A15B"/>
          <w:sz w:val="16"/>
        </w:rPr>
        <w:t>FENÊTRE INDICATIVE</w:t>
        <w:br/>
      </w:r>
      <w:r>
        <w:rPr>
          <w:rFonts w:ascii="Arial" w:hAnsi="Arial" w:eastAsia="Arial"/>
          <w:b w:val="0"/>
          <w:color w:val="162019"/>
          <w:sz w:val="20"/>
        </w:rPr>
        <w:t>Juillet à décembre 2027 — conditionnée à R4 et à une décision explicite de lancement. Les critères de sortie priment sur le calendrier.</w:t>
      </w:r>
    </w:p>
    <w:p>
      <w:pPr>
        <w:pStyle w:val="Heading2"/>
      </w:pPr>
      <w:r>
        <w:t>Livrables prioritaires</w:t>
      </w:r>
    </w:p>
    <w:p>
      <w:pPr>
        <w:numPr>
          <w:ilvl w:val="0"/>
          <w:numId w:val="16"/>
        </w:numPr>
        <w:spacing w:after="80" w:line="283" w:lineRule="auto"/>
      </w:pPr>
      <w:r>
        <w:rPr>
          <w:rFonts w:ascii="Arial" w:hAnsi="Arial" w:eastAsia="Arial"/>
          <w:color w:val="162019"/>
          <w:sz w:val="20"/>
        </w:rPr>
        <w:t>Déployer uniquement les composants approuvés, avec caps bas et allowlists.</w:t>
      </w:r>
    </w:p>
    <w:p>
      <w:pPr>
        <w:numPr>
          <w:ilvl w:val="0"/>
          <w:numId w:val="16"/>
        </w:numPr>
        <w:spacing w:after="80" w:line="283" w:lineRule="auto"/>
      </w:pPr>
      <w:r>
        <w:rPr>
          <w:rFonts w:ascii="Arial" w:hAnsi="Arial" w:eastAsia="Arial"/>
          <w:color w:val="162019"/>
          <w:sz w:val="20"/>
        </w:rPr>
        <w:t>Utiliser un actif de règlement approuvé si nécessaire, sans imposer VERIDIA.</w:t>
      </w:r>
    </w:p>
    <w:p>
      <w:pPr>
        <w:numPr>
          <w:ilvl w:val="0"/>
          <w:numId w:val="16"/>
        </w:numPr>
        <w:spacing w:after="80" w:line="283" w:lineRule="auto"/>
      </w:pPr>
      <w:r>
        <w:rPr>
          <w:rFonts w:ascii="Arial" w:hAnsi="Arial" w:eastAsia="Arial"/>
          <w:color w:val="162019"/>
          <w:sz w:val="20"/>
        </w:rPr>
        <w:t>Limiter engagements, valeur totale, exposition par client et fournisseur.</w:t>
      </w:r>
    </w:p>
    <w:p>
      <w:pPr>
        <w:numPr>
          <w:ilvl w:val="0"/>
          <w:numId w:val="16"/>
        </w:numPr>
        <w:spacing w:after="80" w:line="283" w:lineRule="auto"/>
      </w:pPr>
      <w:r>
        <w:rPr>
          <w:rFonts w:ascii="Arial" w:hAnsi="Arial" w:eastAsia="Arial"/>
          <w:color w:val="162019"/>
          <w:sz w:val="20"/>
        </w:rPr>
        <w:t>Facturer un service simple et mesurer coût par engagement et marge brute.</w:t>
      </w:r>
    </w:p>
    <w:p>
      <w:pPr>
        <w:numPr>
          <w:ilvl w:val="0"/>
          <w:numId w:val="16"/>
        </w:numPr>
        <w:spacing w:after="80" w:line="283" w:lineRule="auto"/>
      </w:pPr>
      <w:r>
        <w:rPr>
          <w:rFonts w:ascii="Arial" w:hAnsi="Arial" w:eastAsia="Arial"/>
          <w:color w:val="162019"/>
          <w:sz w:val="20"/>
        </w:rPr>
        <w:t>Publier status page, incidents, fiabilité, changelog et procédure d’arrêt.</w:t>
      </w:r>
    </w:p>
    <w:p>
      <w:pPr>
        <w:numPr>
          <w:ilvl w:val="0"/>
          <w:numId w:val="16"/>
        </w:numPr>
        <w:spacing w:after="80" w:line="283" w:lineRule="auto"/>
      </w:pPr>
      <w:r>
        <w:rPr>
          <w:rFonts w:ascii="Arial" w:hAnsi="Arial" w:eastAsia="Arial"/>
          <w:color w:val="162019"/>
          <w:sz w:val="20"/>
        </w:rPr>
        <w:t>Évaluer BCS uniquement avec un sponsor réel et une campagne objective.</w:t>
      </w:r>
    </w:p>
    <w:p>
      <w:pPr>
        <w:pStyle w:val="Heading2"/>
      </w:pPr>
      <w:r>
        <w:t>Critères de sortie</w:t>
      </w:r>
    </w:p>
    <w:p>
      <w:pPr>
        <w:numPr>
          <w:ilvl w:val="0"/>
          <w:numId w:val="23"/>
        </w:numPr>
        <w:spacing w:after="80" w:line="283" w:lineRule="auto"/>
      </w:pPr>
      <w:r>
        <w:rPr>
          <w:rFonts w:ascii="Arial" w:hAnsi="Arial" w:eastAsia="Arial"/>
          <w:color w:val="162019"/>
          <w:sz w:val="20"/>
        </w:rPr>
        <w:t>Deux clients payants et au moins un renouvellement ou une extension.</w:t>
      </w:r>
    </w:p>
    <w:p>
      <w:pPr>
        <w:numPr>
          <w:ilvl w:val="0"/>
          <w:numId w:val="23"/>
        </w:numPr>
        <w:spacing w:after="80" w:line="283" w:lineRule="auto"/>
      </w:pPr>
      <w:r>
        <w:rPr>
          <w:rFonts w:ascii="Arial" w:hAnsi="Arial" w:eastAsia="Arial"/>
          <w:color w:val="162019"/>
          <w:sz w:val="20"/>
        </w:rPr>
        <w:t>Marge brute positive sur le template retenu.</w:t>
      </w:r>
    </w:p>
    <w:p>
      <w:pPr>
        <w:numPr>
          <w:ilvl w:val="0"/>
          <w:numId w:val="23"/>
        </w:numPr>
        <w:spacing w:after="80" w:line="283" w:lineRule="auto"/>
      </w:pPr>
      <w:r>
        <w:rPr>
          <w:rFonts w:ascii="Arial" w:hAnsi="Arial" w:eastAsia="Arial"/>
          <w:color w:val="162019"/>
          <w:sz w:val="20"/>
        </w:rPr>
        <w:t>Aucun incident critique non détecté et aucune exposition non bornée.</w:t>
      </w:r>
    </w:p>
    <w:p>
      <w:pPr>
        <w:numPr>
          <w:ilvl w:val="0"/>
          <w:numId w:val="23"/>
        </w:numPr>
        <w:spacing w:after="80" w:line="283" w:lineRule="auto"/>
      </w:pPr>
      <w:r>
        <w:rPr>
          <w:rFonts w:ascii="Arial" w:hAnsi="Arial" w:eastAsia="Arial"/>
          <w:color w:val="162019"/>
          <w:sz w:val="20"/>
        </w:rPr>
        <w:t>Le service reste viable sans achat, staking ou distribution de VERIDIA.</w:t>
      </w:r>
    </w:p>
    <w:p>
      <w:pPr>
        <w:pStyle w:val="Heading2"/>
      </w:pPr>
      <w:r>
        <w:t>Retour, arrêt ou restriction</w:t>
      </w:r>
    </w:p>
    <w:p>
      <w:pPr>
        <w:numPr>
          <w:ilvl w:val="0"/>
          <w:numId w:val="16"/>
        </w:numPr>
        <w:spacing w:after="80" w:line="283" w:lineRule="auto"/>
      </w:pPr>
      <w:r>
        <w:rPr>
          <w:rFonts w:ascii="Arial" w:hAnsi="Arial" w:eastAsia="Arial"/>
          <w:color w:val="162019"/>
          <w:sz w:val="20"/>
        </w:rPr>
        <w:t>Demande principalement spéculative ;</w:t>
      </w:r>
    </w:p>
    <w:p>
      <w:pPr>
        <w:numPr>
          <w:ilvl w:val="0"/>
          <w:numId w:val="16"/>
        </w:numPr>
        <w:spacing w:after="80" w:line="283" w:lineRule="auto"/>
      </w:pPr>
      <w:r>
        <w:rPr>
          <w:rFonts w:ascii="Arial" w:hAnsi="Arial" w:eastAsia="Arial"/>
          <w:color w:val="162019"/>
          <w:sz w:val="20"/>
        </w:rPr>
        <w:t>coûts et responsabilités supérieurs à la valeur ;</w:t>
      </w:r>
    </w:p>
    <w:p>
      <w:pPr>
        <w:numPr>
          <w:ilvl w:val="0"/>
          <w:numId w:val="16"/>
        </w:numPr>
        <w:spacing w:after="80" w:line="283" w:lineRule="auto"/>
      </w:pPr>
      <w:r>
        <w:rPr>
          <w:rFonts w:ascii="Arial" w:hAnsi="Arial" w:eastAsia="Arial"/>
          <w:color w:val="162019"/>
          <w:sz w:val="20"/>
        </w:rPr>
        <w:t>intervention manuelle constante ou pouvoir admin opaque ;</w:t>
      </w:r>
    </w:p>
    <w:p>
      <w:pPr>
        <w:numPr>
          <w:ilvl w:val="0"/>
          <w:numId w:val="16"/>
        </w:numPr>
        <w:spacing w:after="80" w:line="283" w:lineRule="auto"/>
      </w:pPr>
      <w:r>
        <w:rPr>
          <w:rFonts w:ascii="Arial" w:hAnsi="Arial" w:eastAsia="Arial"/>
          <w:color w:val="162019"/>
          <w:sz w:val="20"/>
        </w:rPr>
        <w:t>métriques sans amélioration par rapport à l’alternative.</w:t>
      </w:r>
    </w:p>
    <w:p>
      <w:r>
        <w:br w:type="page"/>
      </w:r>
    </w:p>
    <w:p>
      <w:pPr>
        <w:keepNext/>
        <w:spacing w:before="440" w:after="100"/>
      </w:pPr>
      <w:r>
        <w:rPr>
          <w:rFonts w:ascii="Arial" w:hAnsi="Arial" w:eastAsia="Arial"/>
          <w:b/>
          <w:color w:val="C6A15B"/>
          <w:sz w:val="16"/>
        </w:rPr>
        <w:t>CHAPITRE R6</w:t>
      </w:r>
    </w:p>
    <w:p>
      <w:pPr>
        <w:pStyle w:val="Heading1"/>
        <w:pageBreakBefore w:val="0"/>
      </w:pPr>
      <w:r>
        <w:t>Décision VERIDIA</w:t>
      </w:r>
    </w:p>
    <w:p>
      <w:pPr>
        <w:keepNext/>
        <w:spacing w:after="320"/>
      </w:pPr>
      <w:r>
        <w:rPr>
          <w:rFonts w:ascii="Arial" w:hAnsi="Arial" w:eastAsia="Arial"/>
          <w:i/>
          <w:color w:val="66736B"/>
          <w:sz w:val="25"/>
        </w:rPr>
        <w:t>Décider d’activer, de redessiner ou de maintenir dormant l’actif VERIDIA.</w:t>
      </w:r>
    </w:p>
    <w:p>
      <w:pPr>
        <w:spacing w:before="100" w:after="180" w:line="283" w:lineRule="auto"/>
        <w:ind w:left="227" w:right="170"/>
        <w:shd w:fill="F6F0E3"/>
        <w:pBdr>
          <w:left w:val="single" w:sz="18" w:space="8" w:color="C6A15B"/>
        </w:pBdr>
      </w:pPr>
      <w:r>
        <w:rPr>
          <w:rFonts w:ascii="Arial" w:hAnsi="Arial" w:eastAsia="Arial"/>
          <w:b/>
          <w:color w:val="C6A15B"/>
          <w:sz w:val="16"/>
        </w:rPr>
        <w:t>FENÊTRE INDICATIVE</w:t>
        <w:br/>
      </w:r>
      <w:r>
        <w:rPr>
          <w:rFonts w:ascii="Arial" w:hAnsi="Arial" w:eastAsia="Arial"/>
          <w:b w:val="0"/>
          <w:color w:val="162019"/>
          <w:sz w:val="20"/>
        </w:rPr>
        <w:t>Quatrième trimestre 2027 à premier semestre 2028 — uniquement après preuve produit. Les critères de sortie priment sur le calendrier.</w:t>
      </w:r>
    </w:p>
    <w:p>
      <w:pPr>
        <w:pStyle w:val="Heading2"/>
      </w:pPr>
      <w:r>
        <w:t>Livrables prioritaires</w:t>
      </w:r>
    </w:p>
    <w:p>
      <w:pPr>
        <w:numPr>
          <w:ilvl w:val="0"/>
          <w:numId w:val="16"/>
        </w:numPr>
        <w:spacing w:after="80" w:line="283" w:lineRule="auto"/>
      </w:pPr>
      <w:r>
        <w:rPr>
          <w:rFonts w:ascii="Arial" w:hAnsi="Arial" w:eastAsia="Arial"/>
          <w:color w:val="162019"/>
          <w:sz w:val="20"/>
        </w:rPr>
        <w:t>Réaliser les tests de retrait, substitution, objectivité, concentration et chocs de prix.</w:t>
      </w:r>
    </w:p>
    <w:p>
      <w:pPr>
        <w:numPr>
          <w:ilvl w:val="0"/>
          <w:numId w:val="16"/>
        </w:numPr>
        <w:spacing w:after="80" w:line="283" w:lineRule="auto"/>
      </w:pPr>
      <w:r>
        <w:rPr>
          <w:rFonts w:ascii="Arial" w:hAnsi="Arial" w:eastAsia="Arial"/>
          <w:color w:val="162019"/>
          <w:sz w:val="20"/>
        </w:rPr>
        <w:t>Comparer trois scénarios : sans token, gouvernance limitée, collatéral natif borné.</w:t>
      </w:r>
    </w:p>
    <w:p>
      <w:pPr>
        <w:numPr>
          <w:ilvl w:val="0"/>
          <w:numId w:val="16"/>
        </w:numPr>
        <w:spacing w:after="80" w:line="283" w:lineRule="auto"/>
      </w:pPr>
      <w:r>
        <w:rPr>
          <w:rFonts w:ascii="Arial" w:hAnsi="Arial" w:eastAsia="Arial"/>
          <w:color w:val="162019"/>
          <w:sz w:val="20"/>
        </w:rPr>
        <w:t>Exiger une note de nécessité ≥ 6/10 appuyée par des preuves client et techniques.</w:t>
      </w:r>
    </w:p>
    <w:p>
      <w:pPr>
        <w:numPr>
          <w:ilvl w:val="0"/>
          <w:numId w:val="16"/>
        </w:numPr>
        <w:spacing w:after="80" w:line="283" w:lineRule="auto"/>
      </w:pPr>
      <w:r>
        <w:rPr>
          <w:rFonts w:ascii="Arial" w:hAnsi="Arial" w:eastAsia="Arial"/>
          <w:color w:val="162019"/>
          <w:sz w:val="20"/>
        </w:rPr>
        <w:t>Définir allocation, vesting, circulation, trésorerie et liquidité uniquement après décision positive.</w:t>
      </w:r>
    </w:p>
    <w:p>
      <w:pPr>
        <w:numPr>
          <w:ilvl w:val="0"/>
          <w:numId w:val="16"/>
        </w:numPr>
        <w:spacing w:after="80" w:line="283" w:lineRule="auto"/>
      </w:pPr>
      <w:r>
        <w:rPr>
          <w:rFonts w:ascii="Arial" w:hAnsi="Arial" w:eastAsia="Arial"/>
          <w:color w:val="162019"/>
          <w:sz w:val="20"/>
        </w:rPr>
        <w:t>Soumettre toute modification aux invariants, à un nouvel audit et à une revue juridique.</w:t>
      </w:r>
    </w:p>
    <w:p>
      <w:pPr>
        <w:pStyle w:val="Heading2"/>
      </w:pPr>
      <w:r>
        <w:t>Critères de sortie</w:t>
      </w:r>
    </w:p>
    <w:p>
      <w:pPr>
        <w:numPr>
          <w:ilvl w:val="0"/>
          <w:numId w:val="24"/>
        </w:numPr>
        <w:spacing w:after="80" w:line="283" w:lineRule="auto"/>
      </w:pPr>
      <w:r>
        <w:rPr>
          <w:rFonts w:ascii="Arial" w:hAnsi="Arial" w:eastAsia="Arial"/>
          <w:color w:val="162019"/>
          <w:sz w:val="20"/>
        </w:rPr>
        <w:t>Propriété native indispensable, non substituable et payée par l’usage.</w:t>
      </w:r>
    </w:p>
    <w:p>
      <w:pPr>
        <w:numPr>
          <w:ilvl w:val="0"/>
          <w:numId w:val="24"/>
        </w:numPr>
        <w:spacing w:after="80" w:line="283" w:lineRule="auto"/>
      </w:pPr>
      <w:r>
        <w:rPr>
          <w:rFonts w:ascii="Arial" w:hAnsi="Arial" w:eastAsia="Arial"/>
          <w:color w:val="162019"/>
          <w:sz w:val="20"/>
        </w:rPr>
        <w:t>Sécurité maintenue sous choc de prix et faible liquidité.</w:t>
      </w:r>
    </w:p>
    <w:p>
      <w:pPr>
        <w:numPr>
          <w:ilvl w:val="0"/>
          <w:numId w:val="24"/>
        </w:numPr>
        <w:spacing w:after="80" w:line="283" w:lineRule="auto"/>
      </w:pPr>
      <w:r>
        <w:rPr>
          <w:rFonts w:ascii="Arial" w:hAnsi="Arial" w:eastAsia="Arial"/>
          <w:color w:val="162019"/>
          <w:sz w:val="20"/>
        </w:rPr>
        <w:t>Audit du code et du déploiement effectivement distribués.</w:t>
      </w:r>
    </w:p>
    <w:p>
      <w:pPr>
        <w:numPr>
          <w:ilvl w:val="0"/>
          <w:numId w:val="24"/>
        </w:numPr>
        <w:spacing w:after="80" w:line="283" w:lineRule="auto"/>
      </w:pPr>
      <w:r>
        <w:rPr>
          <w:rFonts w:ascii="Arial" w:hAnsi="Arial" w:eastAsia="Arial"/>
          <w:color w:val="162019"/>
          <w:sz w:val="20"/>
        </w:rPr>
        <w:t>Aucune promesse de rendement, prix, liquidité ou revenu partagé.</w:t>
      </w:r>
    </w:p>
    <w:p>
      <w:pPr>
        <w:pStyle w:val="Heading2"/>
      </w:pPr>
      <w:r>
        <w:t>Retour, arrêt ou restriction</w:t>
      </w:r>
    </w:p>
    <w:p>
      <w:pPr>
        <w:numPr>
          <w:ilvl w:val="0"/>
          <w:numId w:val="16"/>
        </w:numPr>
        <w:spacing w:after="80" w:line="283" w:lineRule="auto"/>
      </w:pPr>
      <w:r>
        <w:rPr>
          <w:rFonts w:ascii="Arial" w:hAnsi="Arial" w:eastAsia="Arial"/>
          <w:color w:val="162019"/>
          <w:sz w:val="20"/>
        </w:rPr>
        <w:t>Score de nécessité inférieur à 6/10 ;</w:t>
      </w:r>
    </w:p>
    <w:p>
      <w:pPr>
        <w:numPr>
          <w:ilvl w:val="0"/>
          <w:numId w:val="16"/>
        </w:numPr>
        <w:spacing w:after="80" w:line="283" w:lineRule="auto"/>
      </w:pPr>
      <w:r>
        <w:rPr>
          <w:rFonts w:ascii="Arial" w:hAnsi="Arial" w:eastAsia="Arial"/>
          <w:color w:val="162019"/>
          <w:sz w:val="20"/>
        </w:rPr>
        <w:t>ETH, stable collateral, réputation ou contrat offrent une meilleure solution ;</w:t>
      </w:r>
    </w:p>
    <w:p>
      <w:pPr>
        <w:numPr>
          <w:ilvl w:val="0"/>
          <w:numId w:val="16"/>
        </w:numPr>
        <w:spacing w:after="80" w:line="283" w:lineRule="auto"/>
      </w:pPr>
      <w:r>
        <w:rPr>
          <w:rFonts w:ascii="Arial" w:hAnsi="Arial" w:eastAsia="Arial"/>
          <w:color w:val="162019"/>
          <w:sz w:val="20"/>
        </w:rPr>
        <w:t>demande fondée sur APY, rareté artificielle ou hausse attendue ;</w:t>
      </w:r>
    </w:p>
    <w:p>
      <w:pPr>
        <w:numPr>
          <w:ilvl w:val="0"/>
          <w:numId w:val="16"/>
        </w:numPr>
        <w:spacing w:after="80" w:line="283" w:lineRule="auto"/>
      </w:pPr>
      <w:r>
        <w:rPr>
          <w:rFonts w:ascii="Arial" w:hAnsi="Arial" w:eastAsia="Arial"/>
          <w:color w:val="162019"/>
          <w:sz w:val="20"/>
        </w:rPr>
        <w:t>le token fragilise un produit déjà viable.</w:t>
      </w:r>
    </w:p>
    <w:p>
      <w:r>
        <w:br w:type="page"/>
      </w:r>
    </w:p>
    <w:p>
      <w:pPr>
        <w:keepNext/>
        <w:spacing w:before="440" w:after="100"/>
      </w:pPr>
      <w:r>
        <w:rPr>
          <w:rFonts w:ascii="Arial" w:hAnsi="Arial" w:eastAsia="Arial"/>
          <w:b/>
          <w:color w:val="C6A15B"/>
          <w:sz w:val="16"/>
        </w:rPr>
        <w:t>CHAPITRE R7</w:t>
      </w:r>
    </w:p>
    <w:p>
      <w:pPr>
        <w:pStyle w:val="Heading1"/>
        <w:pageBreakBefore w:val="0"/>
      </w:pPr>
      <w:r>
        <w:t>Industrialisation et scale</w:t>
      </w:r>
    </w:p>
    <w:p>
      <w:pPr>
        <w:keepNext/>
        <w:spacing w:after="320"/>
      </w:pPr>
      <w:r>
        <w:rPr>
          <w:rFonts w:ascii="Arial" w:hAnsi="Arial" w:eastAsia="Arial"/>
          <w:i/>
          <w:color w:val="66736B"/>
          <w:sz w:val="25"/>
        </w:rPr>
        <w:t>Étendre uniquement les capacités démontrées avec une gouvernance et des opérations adaptées.</w:t>
      </w:r>
    </w:p>
    <w:p>
      <w:pPr>
        <w:spacing w:before="100" w:after="180" w:line="283" w:lineRule="auto"/>
        <w:ind w:left="227" w:right="170"/>
        <w:shd w:fill="F6F0E3"/>
        <w:pBdr>
          <w:left w:val="single" w:sz="18" w:space="8" w:color="C6A15B"/>
        </w:pBdr>
      </w:pPr>
      <w:r>
        <w:rPr>
          <w:rFonts w:ascii="Arial" w:hAnsi="Arial" w:eastAsia="Arial"/>
          <w:b/>
          <w:color w:val="C6A15B"/>
          <w:sz w:val="16"/>
        </w:rPr>
        <w:t>FENÊTRE INDICATIVE</w:t>
        <w:br/>
      </w:r>
      <w:r>
        <w:rPr>
          <w:rFonts w:ascii="Arial" w:hAnsi="Arial" w:eastAsia="Arial"/>
          <w:b w:val="0"/>
          <w:color w:val="162019"/>
          <w:sz w:val="20"/>
        </w:rPr>
        <w:t>Deuxième semestre 2028 et au-delà — conditionné à des preuves répétées. Les critères de sortie priment sur le calendrier.</w:t>
      </w:r>
    </w:p>
    <w:p>
      <w:pPr>
        <w:pStyle w:val="Heading2"/>
      </w:pPr>
      <w:r>
        <w:t>Livrables prioritaires</w:t>
      </w:r>
    </w:p>
    <w:p>
      <w:pPr>
        <w:numPr>
          <w:ilvl w:val="0"/>
          <w:numId w:val="16"/>
        </w:numPr>
        <w:spacing w:after="80" w:line="283" w:lineRule="auto"/>
      </w:pPr>
      <w:r>
        <w:rPr>
          <w:rFonts w:ascii="Arial" w:hAnsi="Arial" w:eastAsia="Arial"/>
          <w:color w:val="162019"/>
          <w:sz w:val="20"/>
        </w:rPr>
        <w:t>Standardiser des templates audités, versionnés et sectorisés.</w:t>
      </w:r>
    </w:p>
    <w:p>
      <w:pPr>
        <w:numPr>
          <w:ilvl w:val="0"/>
          <w:numId w:val="16"/>
        </w:numPr>
        <w:spacing w:after="80" w:line="283" w:lineRule="auto"/>
      </w:pPr>
      <w:r>
        <w:rPr>
          <w:rFonts w:ascii="Arial" w:hAnsi="Arial" w:eastAsia="Arial"/>
          <w:color w:val="162019"/>
          <w:sz w:val="20"/>
        </w:rPr>
        <w:t>Ajouter plusieurs fournisseurs et collecteurs avec admission et révocation.</w:t>
      </w:r>
    </w:p>
    <w:p>
      <w:pPr>
        <w:numPr>
          <w:ilvl w:val="0"/>
          <w:numId w:val="16"/>
        </w:numPr>
        <w:spacing w:after="80" w:line="283" w:lineRule="auto"/>
      </w:pPr>
      <w:r>
        <w:rPr>
          <w:rFonts w:ascii="Arial" w:hAnsi="Arial" w:eastAsia="Arial"/>
          <w:color w:val="162019"/>
          <w:sz w:val="20"/>
        </w:rPr>
        <w:t>Créer SDK, webhooks, sandbox et documentation développeur.</w:t>
      </w:r>
    </w:p>
    <w:p>
      <w:pPr>
        <w:numPr>
          <w:ilvl w:val="0"/>
          <w:numId w:val="16"/>
        </w:numPr>
        <w:spacing w:after="80" w:line="283" w:lineRule="auto"/>
      </w:pPr>
      <w:r>
        <w:rPr>
          <w:rFonts w:ascii="Arial" w:hAnsi="Arial" w:eastAsia="Arial"/>
          <w:color w:val="162019"/>
          <w:sz w:val="20"/>
        </w:rPr>
        <w:t>Étendre BCS seulement après validation d’un payeur et d’un reçu objectif.</w:t>
      </w:r>
    </w:p>
    <w:p>
      <w:pPr>
        <w:numPr>
          <w:ilvl w:val="0"/>
          <w:numId w:val="16"/>
        </w:numPr>
        <w:spacing w:after="80" w:line="283" w:lineRule="auto"/>
      </w:pPr>
      <w:r>
        <w:rPr>
          <w:rFonts w:ascii="Arial" w:hAnsi="Arial" w:eastAsia="Arial"/>
          <w:color w:val="162019"/>
          <w:sz w:val="20"/>
        </w:rPr>
        <w:t>Maintenir Proof-of-Reality comme programme R&amp;D avec hardware root et calibration.</w:t>
      </w:r>
    </w:p>
    <w:p>
      <w:pPr>
        <w:numPr>
          <w:ilvl w:val="0"/>
          <w:numId w:val="16"/>
        </w:numPr>
        <w:spacing w:after="80" w:line="283" w:lineRule="auto"/>
      </w:pPr>
      <w:r>
        <w:rPr>
          <w:rFonts w:ascii="Arial" w:hAnsi="Arial" w:eastAsia="Arial"/>
          <w:color w:val="162019"/>
          <w:sz w:val="20"/>
        </w:rPr>
        <w:t>Évaluer bug bounty, audits récurrents, red team et résilience multi-région.</w:t>
      </w:r>
    </w:p>
    <w:p>
      <w:pPr>
        <w:pStyle w:val="Heading2"/>
      </w:pPr>
      <w:r>
        <w:t>Critères de sortie</w:t>
      </w:r>
    </w:p>
    <w:p>
      <w:pPr>
        <w:numPr>
          <w:ilvl w:val="0"/>
          <w:numId w:val="25"/>
        </w:numPr>
        <w:spacing w:after="80" w:line="283" w:lineRule="auto"/>
      </w:pPr>
      <w:r>
        <w:rPr>
          <w:rFonts w:ascii="Arial" w:hAnsi="Arial" w:eastAsia="Arial"/>
          <w:color w:val="162019"/>
          <w:sz w:val="20"/>
        </w:rPr>
        <w:t>Trois templates rentables avec SLO et sécurité maintenus.</w:t>
      </w:r>
    </w:p>
    <w:p>
      <w:pPr>
        <w:numPr>
          <w:ilvl w:val="0"/>
          <w:numId w:val="25"/>
        </w:numPr>
        <w:spacing w:after="80" w:line="283" w:lineRule="auto"/>
      </w:pPr>
      <w:r>
        <w:rPr>
          <w:rFonts w:ascii="Arial" w:hAnsi="Arial" w:eastAsia="Arial"/>
          <w:color w:val="162019"/>
          <w:sz w:val="20"/>
        </w:rPr>
        <w:t>Concentration fournisseur, collecteur et gouvernance sous seuils publiés.</w:t>
      </w:r>
    </w:p>
    <w:p>
      <w:pPr>
        <w:numPr>
          <w:ilvl w:val="0"/>
          <w:numId w:val="25"/>
        </w:numPr>
        <w:spacing w:after="80" w:line="283" w:lineRule="auto"/>
      </w:pPr>
      <w:r>
        <w:rPr>
          <w:rFonts w:ascii="Arial" w:hAnsi="Arial" w:eastAsia="Arial"/>
          <w:color w:val="162019"/>
          <w:sz w:val="20"/>
        </w:rPr>
        <w:t>Retrait et migration testés.</w:t>
      </w:r>
    </w:p>
    <w:p>
      <w:pPr>
        <w:numPr>
          <w:ilvl w:val="0"/>
          <w:numId w:val="25"/>
        </w:numPr>
        <w:spacing w:after="80" w:line="283" w:lineRule="auto"/>
      </w:pPr>
      <w:r>
        <w:rPr>
          <w:rFonts w:ascii="Arial" w:hAnsi="Arial" w:eastAsia="Arial"/>
          <w:color w:val="162019"/>
          <w:sz w:val="20"/>
        </w:rPr>
        <w:t>Support, sécurité et conformité financés par les revenus du service.</w:t>
      </w:r>
    </w:p>
    <w:p>
      <w:pPr>
        <w:pStyle w:val="Heading2"/>
      </w:pPr>
      <w:r>
        <w:t>Retour, arrêt ou restriction</w:t>
      </w:r>
    </w:p>
    <w:p>
      <w:pPr>
        <w:numPr>
          <w:ilvl w:val="0"/>
          <w:numId w:val="16"/>
        </w:numPr>
        <w:spacing w:after="80" w:line="283" w:lineRule="auto"/>
      </w:pPr>
      <w:r>
        <w:rPr>
          <w:rFonts w:ascii="Arial" w:hAnsi="Arial" w:eastAsia="Arial"/>
          <w:color w:val="162019"/>
          <w:sz w:val="20"/>
        </w:rPr>
        <w:t>Croissance financée principalement par spéculation ;</w:t>
      </w:r>
    </w:p>
    <w:p>
      <w:pPr>
        <w:numPr>
          <w:ilvl w:val="0"/>
          <w:numId w:val="16"/>
        </w:numPr>
        <w:spacing w:after="80" w:line="283" w:lineRule="auto"/>
      </w:pPr>
      <w:r>
        <w:rPr>
          <w:rFonts w:ascii="Arial" w:hAnsi="Arial" w:eastAsia="Arial"/>
          <w:color w:val="162019"/>
          <w:sz w:val="20"/>
        </w:rPr>
        <w:t>extension à des événements subjectifs sans modèle de preuve ;</w:t>
      </w:r>
    </w:p>
    <w:p>
      <w:pPr>
        <w:numPr>
          <w:ilvl w:val="0"/>
          <w:numId w:val="16"/>
        </w:numPr>
        <w:spacing w:after="80" w:line="283" w:lineRule="auto"/>
      </w:pPr>
      <w:r>
        <w:rPr>
          <w:rFonts w:ascii="Arial" w:hAnsi="Arial" w:eastAsia="Arial"/>
          <w:color w:val="162019"/>
          <w:sz w:val="20"/>
        </w:rPr>
        <w:t>décentralisation plus rapide que la réponse aux incidents ;</w:t>
      </w:r>
    </w:p>
    <w:p>
      <w:pPr>
        <w:numPr>
          <w:ilvl w:val="0"/>
          <w:numId w:val="16"/>
        </w:numPr>
        <w:spacing w:after="80" w:line="283" w:lineRule="auto"/>
      </w:pPr>
      <w:r>
        <w:rPr>
          <w:rFonts w:ascii="Arial" w:hAnsi="Arial" w:eastAsia="Arial"/>
          <w:color w:val="162019"/>
          <w:sz w:val="20"/>
        </w:rPr>
        <w:t>dépendance critique à une seule source, chaîne, clé ou personne.</w:t>
      </w:r>
    </w:p>
    <w:p>
      <w:r>
        <w:br w:type="page"/>
      </w:r>
    </w:p>
    <w:p>
      <w:pPr>
        <w:keepNext/>
        <w:spacing w:before="440" w:after="100"/>
      </w:pPr>
      <w:r>
        <w:rPr>
          <w:rFonts w:ascii="Arial" w:hAnsi="Arial" w:eastAsia="Arial"/>
          <w:b/>
          <w:color w:val="C6A15B"/>
          <w:sz w:val="16"/>
        </w:rPr>
        <w:t>CHAPITRE C</w:t>
      </w:r>
    </w:p>
    <w:p>
      <w:pPr>
        <w:pStyle w:val="Heading1"/>
        <w:pageBreakBefore w:val="0"/>
      </w:pPr>
      <w:r>
        <w:t>Workstreams permanents</w:t>
      </w:r>
    </w:p>
    <w:p>
      <w:pPr>
        <w:keepNext/>
        <w:spacing w:after="320"/>
      </w:pPr>
      <w:r>
        <w:rPr>
          <w:rFonts w:ascii="Arial" w:hAnsi="Arial" w:eastAsia="Arial"/>
          <w:i/>
          <w:color w:val="66736B"/>
          <w:sz w:val="25"/>
        </w:rPr>
        <w:t>Les responsabilités continues qui traversent toutes les gates.</w:t>
      </w:r>
    </w:p>
    <w:tbl>
      <w:tblPr>
        <w:tblStyle w:val="TableGrid"/>
        <w:tblW w:type="dxa" w:w="9500"/>
        <w:jc w:val="left"/>
        <w:tblLayout w:type="fixed"/>
        <w:tblLook w:firstColumn="1" w:firstRow="1" w:lastColumn="0" w:lastRow="0" w:noHBand="0" w:noVBand="1" w:val="04A0"/>
        <w:tblInd w:w="120" w:type="dxa"/>
      </w:tblPr>
      <w:tblGrid>
        <w:gridCol w:w="2100"/>
        <w:gridCol w:w="4300"/>
        <w:gridCol w:w="3100"/>
      </w:tblGrid>
      <w:tr>
        <w:trPr>
          <w:tblHeader w:val="true"/>
          <w:cantSplit/>
        </w:trPr>
        <w:tc>
          <w:tcPr>
            <w:tcW w:type="dxa" w:w="2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AXE</w:t>
            </w:r>
          </w:p>
        </w:tc>
        <w:tc>
          <w:tcPr>
            <w:tcW w:type="dxa" w:w="4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RESPONSABILITÉ</w:t>
            </w:r>
          </w:p>
        </w:tc>
        <w:tc>
          <w:tcPr>
            <w:tcW w:type="dxa" w:w="3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 DE SANTÉ</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Produit</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Discovery, ICP, template, prix et feedback</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Décideurs, pilotes, renouvellement</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Protocol / contrats</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Invariants, caps, rôles et déploiements</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Tests, audit, bytecode, registre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Backend / data</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Persistance, politiques et idempotence</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Reprise, migrations et SLO</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Indexer / preuves</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Finalité, reorg, multi-RPC et lineage</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Concordance et absence de faux positifs</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Sécurité</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Menaces, secrets, audits et incidents</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Findings, exercices et délais de réponse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Opérations</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Monitoring, support, backup et releases</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Disponibilité, restauration, runbooks</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Juridique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Qualification, données, contrats et fiscalité</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Avis, politiques et revues</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Économie</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Unit economics, frais, caps et solvabilité</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Marge, rapprochement et exposition</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Gouvernance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Privilèges, délais et transparence</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Concentration, décisions et traces</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Documentation</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White paper, API, changelog et preuves</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Cohérence code, réseau et communication</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PRIORITÉ BUDGÉTAIRE</w:t>
        <w:br/>
      </w:r>
      <w:r>
        <w:rPr>
          <w:rFonts w:ascii="Arial" w:hAnsi="Arial" w:eastAsia="Arial"/>
          <w:b w:val="0"/>
          <w:color w:val="162019"/>
          <w:sz w:val="20"/>
        </w:rPr>
        <w:t>Financer d’abord ce qui réduit une incertitude bloquante : preuve client, registre de déploiement, persistance, sécurité, audit critique et conseil juridique. Une nouvelle interface ou une campagne token ne remplace aucune de ces preuves.</w:t>
      </w:r>
    </w:p>
    <w:p>
      <w:r>
        <w:br w:type="page"/>
      </w:r>
    </w:p>
    <w:p>
      <w:pPr>
        <w:keepNext/>
        <w:spacing w:before="440" w:after="100"/>
      </w:pPr>
      <w:r>
        <w:rPr>
          <w:rFonts w:ascii="Arial" w:hAnsi="Arial" w:eastAsia="Arial"/>
          <w:b/>
          <w:color w:val="C6A15B"/>
          <w:sz w:val="16"/>
        </w:rPr>
        <w:t>CHAPITRE D</w:t>
      </w:r>
    </w:p>
    <w:p>
      <w:pPr>
        <w:pStyle w:val="Heading1"/>
        <w:pageBreakBefore w:val="0"/>
      </w:pPr>
      <w:r>
        <w:t>Gouvernance de programme et de release</w:t>
      </w:r>
    </w:p>
    <w:p>
      <w:pPr>
        <w:keepNext/>
        <w:spacing w:after="320"/>
      </w:pPr>
      <w:r>
        <w:rPr>
          <w:rFonts w:ascii="Arial" w:hAnsi="Arial" w:eastAsia="Arial"/>
          <w:i/>
          <w:color w:val="66736B"/>
          <w:sz w:val="25"/>
        </w:rPr>
        <w:t>Séparer proposition, implémentation, contrôle et autorisation de déploiement.</w:t>
      </w:r>
    </w:p>
    <w:tbl>
      <w:tblPr>
        <w:tblStyle w:val="TableGrid"/>
        <w:tblW w:type="dxa" w:w="9500"/>
        <w:jc w:val="left"/>
        <w:tblLayout w:type="fixed"/>
        <w:tblLook w:firstColumn="1" w:firstRow="1" w:lastColumn="0" w:lastRow="0" w:noHBand="0" w:noVBand="1" w:val="04A0"/>
        <w:tblInd w:w="120" w:type="dxa"/>
      </w:tblPr>
      <w:tblGrid>
        <w:gridCol w:w="2500"/>
        <w:gridCol w:w="3300"/>
        <w:gridCol w:w="37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DÉCIDE</w:t>
            </w:r>
          </w:p>
        </w:tc>
        <w:tc>
          <w:tcPr>
            <w:tcW w:type="dxa" w:w="3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NE DOIT PAS CUMULER SEUL</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Product owner</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ICP, priorités et critères</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sécurité et avis juridique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Protocol engineer</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Implémentation des contrats</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Déploiement, admin et validation finale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Backend / SRE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Données, monitoring et disponibilité</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Pouvoir de règlement économique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Security reviewer</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Menaces, gates et incidents</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Développement puis auto-approbation</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Legal / compliance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Qualification et contraintes</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Décision technique ou produit</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Multisig signers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Exécution bornée</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Majorité contrôlée par une personne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Finance / treasury</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Budget et rapprochement</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Accès unilatéral aux fonds</w:t>
            </w:r>
          </w:p>
        </w:tc>
      </w:tr>
    </w:tbl>
    <w:p>
      <w:pPr>
        <w:spacing w:after="40"/>
      </w:pPr>
    </w:p>
    <w:p>
      <w:pPr>
        <w:pStyle w:val="Heading2"/>
      </w:pPr>
      <w:r>
        <w:t>Séquence de release</w:t>
      </w:r>
    </w:p>
    <w:p>
      <w:pPr>
        <w:numPr>
          <w:ilvl w:val="0"/>
          <w:numId w:val="26"/>
        </w:numPr>
        <w:spacing w:after="80" w:line="283" w:lineRule="auto"/>
      </w:pPr>
      <w:r>
        <w:rPr>
          <w:rFonts w:ascii="Arial" w:hAnsi="Arial" w:eastAsia="Arial"/>
          <w:color w:val="162019"/>
          <w:sz w:val="20"/>
        </w:rPr>
        <w:t>Proposition liée à un besoin, une hypothèse ou un risque identifié.</w:t>
      </w:r>
    </w:p>
    <w:p>
      <w:pPr>
        <w:numPr>
          <w:ilvl w:val="0"/>
          <w:numId w:val="26"/>
        </w:numPr>
        <w:spacing w:after="80" w:line="283" w:lineRule="auto"/>
      </w:pPr>
      <w:r>
        <w:rPr>
          <w:rFonts w:ascii="Arial" w:hAnsi="Arial" w:eastAsia="Arial"/>
          <w:color w:val="162019"/>
          <w:sz w:val="20"/>
        </w:rPr>
        <w:t>Design avec spécification, menaces, économie et critères d’acceptation.</w:t>
      </w:r>
    </w:p>
    <w:p>
      <w:pPr>
        <w:numPr>
          <w:ilvl w:val="0"/>
          <w:numId w:val="26"/>
        </w:numPr>
        <w:spacing w:after="80" w:line="283" w:lineRule="auto"/>
      </w:pPr>
      <w:r>
        <w:rPr>
          <w:rFonts w:ascii="Arial" w:hAnsi="Arial" w:eastAsia="Arial"/>
          <w:color w:val="162019"/>
          <w:sz w:val="20"/>
        </w:rPr>
        <w:t>Implémentation bornée, tests et revue indépendante du développement.</w:t>
      </w:r>
    </w:p>
    <w:p>
      <w:pPr>
        <w:numPr>
          <w:ilvl w:val="0"/>
          <w:numId w:val="26"/>
        </w:numPr>
        <w:spacing w:after="80" w:line="283" w:lineRule="auto"/>
      </w:pPr>
      <w:r>
        <w:rPr>
          <w:rFonts w:ascii="Arial" w:hAnsi="Arial" w:eastAsia="Arial"/>
          <w:color w:val="162019"/>
          <w:sz w:val="20"/>
        </w:rPr>
        <w:t>Gate sécurité : analyse statique, fuzzing, invariants, secrets et dépendances.</w:t>
      </w:r>
    </w:p>
    <w:p>
      <w:pPr>
        <w:numPr>
          <w:ilvl w:val="0"/>
          <w:numId w:val="26"/>
        </w:numPr>
        <w:spacing w:after="80" w:line="283" w:lineRule="auto"/>
      </w:pPr>
      <w:r>
        <w:rPr>
          <w:rFonts w:ascii="Arial" w:hAnsi="Arial" w:eastAsia="Arial"/>
          <w:color w:val="162019"/>
          <w:sz w:val="20"/>
        </w:rPr>
        <w:t>Build reproductible : commit, outils, ABI, artefacts, bytecodes et hashes.</w:t>
      </w:r>
    </w:p>
    <w:p>
      <w:pPr>
        <w:numPr>
          <w:ilvl w:val="0"/>
          <w:numId w:val="26"/>
        </w:numPr>
        <w:spacing w:after="80" w:line="283" w:lineRule="auto"/>
      </w:pPr>
      <w:r>
        <w:rPr>
          <w:rFonts w:ascii="Arial" w:hAnsi="Arial" w:eastAsia="Arial"/>
          <w:color w:val="162019"/>
          <w:sz w:val="20"/>
        </w:rPr>
        <w:t>Déploiement contrôlé : dry-run, multisig, vérification, ownership et monitoring.</w:t>
      </w:r>
    </w:p>
    <w:p>
      <w:pPr>
        <w:numPr>
          <w:ilvl w:val="0"/>
          <w:numId w:val="26"/>
        </w:numPr>
        <w:spacing w:after="80" w:line="283" w:lineRule="auto"/>
      </w:pPr>
      <w:r>
        <w:rPr>
          <w:rFonts w:ascii="Arial" w:hAnsi="Arial" w:eastAsia="Arial"/>
          <w:color w:val="162019"/>
          <w:sz w:val="20"/>
        </w:rPr>
        <w:t>Observation avant augmentation des caps, du public ou du périmètre.</w:t>
      </w:r>
    </w:p>
    <w:p>
      <w:r>
        <w:br w:type="page"/>
      </w:r>
    </w:p>
    <w:p>
      <w:pPr>
        <w:keepNext/>
        <w:spacing w:before="440" w:after="100"/>
      </w:pPr>
      <w:r>
        <w:rPr>
          <w:rFonts w:ascii="Arial" w:hAnsi="Arial" w:eastAsia="Arial"/>
          <w:b/>
          <w:color w:val="C6A15B"/>
          <w:sz w:val="16"/>
        </w:rPr>
        <w:t>CHAPITRE E</w:t>
      </w:r>
    </w:p>
    <w:p>
      <w:pPr>
        <w:pStyle w:val="Heading1"/>
        <w:pageBreakBefore w:val="0"/>
      </w:pPr>
      <w:r>
        <w:t>Indicateurs et plan 30 / 60 / 90 jours</w:t>
      </w:r>
    </w:p>
    <w:p>
      <w:pPr>
        <w:keepNext/>
        <w:spacing w:after="320"/>
      </w:pPr>
      <w:r>
        <w:rPr>
          <w:rFonts w:ascii="Arial" w:hAnsi="Arial" w:eastAsia="Arial"/>
          <w:i/>
          <w:color w:val="66736B"/>
          <w:sz w:val="25"/>
        </w:rPr>
        <w:t>Mesurer la réduction des incertitudes, pas l’activité produite pour elle-même.</w:t>
      </w:r>
    </w:p>
    <w:tbl>
      <w:tblPr>
        <w:tblStyle w:val="TableGrid"/>
        <w:tblW w:type="dxa" w:w="9500"/>
        <w:jc w:val="left"/>
        <w:tblLayout w:type="fixed"/>
        <w:tblLook w:firstColumn="1" w:firstRow="1" w:lastColumn="0" w:lastRow="0" w:noHBand="0" w:noVBand="1" w:val="04A0"/>
        <w:tblInd w:w="120" w:type="dxa"/>
      </w:tblPr>
      <w:tblGrid>
        <w:gridCol w:w="1800"/>
        <w:gridCol w:w="4500"/>
        <w:gridCol w:w="3200"/>
      </w:tblGrid>
      <w:tr>
        <w:trPr>
          <w:tblHeader w:val="true"/>
          <w:cantSplit/>
        </w:trPr>
        <w:tc>
          <w:tcPr>
            <w:tcW w:type="dxa" w:w="1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AXE</w:t>
            </w:r>
          </w:p>
        </w:tc>
        <w:tc>
          <w:tcPr>
            <w:tcW w:type="dxa" w:w="4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INDICATEUR</w:t>
            </w:r>
          </w:p>
        </w:tc>
        <w:tc>
          <w:tcPr>
            <w:tcW w:type="dxa" w:w="32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SIGNAL ROUGE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Discovery</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Entretiens décideurs et workflows observés</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Intérêt sans perte mesurable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Commercial</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Pilotes, revenu service, poursuite</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Aucun budget ou abandon immédiat</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Produit</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Temps jusqu’au premier engagement valide</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Intégration trop complexe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Fiabilité</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Succès, contesté, indéterminé, fausse faute</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Toute fausse faute fournisseur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Sécurité</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Findings ouverts, âge, incidents, réponse</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Critical/High non contenu</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Économie</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Coût par engagement, marge, exposition</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Marge négative persistante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Conformité</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Actions dues, données et plaintes</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Exigence manquée</w:t>
            </w:r>
          </w:p>
        </w:tc>
      </w:tr>
    </w:tbl>
    <w:p>
      <w:pPr>
        <w:spacing w:after="40"/>
      </w:pPr>
    </w:p>
    <w:p>
      <w:pPr>
        <w:pStyle w:val="Heading2"/>
      </w:pPr>
      <w:r>
        <w:t>Résultats attendus</w:t>
      </w:r>
    </w:p>
    <w:tbl>
      <w:tblPr>
        <w:tblStyle w:val="TableGrid"/>
        <w:tblW w:type="dxa" w:w="9500"/>
        <w:jc w:val="left"/>
        <w:tblLayout w:type="fixed"/>
        <w:tblLook w:firstColumn="1" w:firstRow="1" w:lastColumn="0" w:lastRow="0" w:noHBand="0" w:noVBand="1" w:val="04A0"/>
        <w:tblInd w:w="120" w:type="dxa"/>
      </w:tblPr>
      <w:tblGrid>
        <w:gridCol w:w="1500"/>
        <w:gridCol w:w="2900"/>
        <w:gridCol w:w="5100"/>
      </w:tblGrid>
      <w:tr>
        <w:trPr>
          <w:tblHeader w:val="true"/>
          <w:cantSplit/>
        </w:trPr>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HORIZON</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w:t>
            </w:r>
          </w:p>
        </w:tc>
        <w:tc>
          <w:tcPr>
            <w:tcW w:type="dxa" w:w="51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ACTIONS PRIORITAIRES</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J+30</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Testnet traçable et ICP défini</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Commit, adresses, rôles, bytecodes ; script d’entretien ; premiers entretiens</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J+60</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Problème et template choisis</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15–20 entretiens ; workflows observés ; deux design partners ; spécification ALPHA</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J+90</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Staging durable prêt</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Persistance, signatures, collecteurs, multi-RPC, reorg, monitoring et reprise</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ATTENTION</w:t>
        <w:br/>
      </w:r>
      <w:r>
        <w:rPr>
          <w:rFonts w:ascii="Arial" w:hAnsi="Arial" w:eastAsia="Arial"/>
          <w:b w:val="0"/>
          <w:color w:val="162019"/>
          <w:sz w:val="20"/>
        </w:rPr>
        <w:t>Ces horizons sont des objectifs de pilotage à compter du lancement effectif du plan, pas des engagements publics de livraison.</w:t>
      </w:r>
    </w:p>
    <w:p>
      <w:r>
        <w:br w:type="page"/>
      </w:r>
    </w:p>
    <w:p>
      <w:pPr>
        <w:keepNext/>
        <w:spacing w:before="440" w:after="100"/>
      </w:pPr>
      <w:r>
        <w:rPr>
          <w:rFonts w:ascii="Arial" w:hAnsi="Arial" w:eastAsia="Arial"/>
          <w:b/>
          <w:color w:val="C6A15B"/>
          <w:sz w:val="16"/>
        </w:rPr>
        <w:t>CHAPITRE F</w:t>
      </w:r>
    </w:p>
    <w:p>
      <w:pPr>
        <w:pStyle w:val="Heading1"/>
        <w:pageBreakBefore w:val="0"/>
      </w:pPr>
      <w:r>
        <w:t>Risques programme et réponses</w:t>
      </w:r>
    </w:p>
    <w:p>
      <w:pPr>
        <w:keepNext/>
        <w:spacing w:after="320"/>
      </w:pPr>
      <w:r>
        <w:rPr>
          <w:rFonts w:ascii="Arial" w:hAnsi="Arial" w:eastAsia="Arial"/>
          <w:i/>
          <w:color w:val="66736B"/>
          <w:sz w:val="25"/>
        </w:rPr>
        <w:t>Écrire les conditions no-go avant que le coût déjà engagé n’influence la décision.</w:t>
      </w:r>
    </w:p>
    <w:tbl>
      <w:tblPr>
        <w:tblStyle w:val="TableGrid"/>
        <w:tblW w:type="dxa" w:w="9500"/>
        <w:jc w:val="left"/>
        <w:tblLayout w:type="fixed"/>
        <w:tblLook w:firstColumn="1" w:firstRow="1" w:lastColumn="0" w:lastRow="0" w:noHBand="0" w:noVBand="1" w:val="04A0"/>
        <w:tblInd w:w="120" w:type="dxa"/>
      </w:tblPr>
      <w:tblGrid>
        <w:gridCol w:w="2700"/>
        <w:gridCol w:w="3300"/>
        <w:gridCol w:w="3500"/>
      </w:tblGrid>
      <w:tr>
        <w:trPr>
          <w:tblHeader w:val="true"/>
          <w:cantSplit/>
        </w:trPr>
        <w:tc>
          <w:tcPr>
            <w:tcW w:type="dxa" w:w="2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RISQUE</w:t>
            </w:r>
          </w:p>
        </w:tc>
        <w:tc>
          <w:tcPr>
            <w:tcW w:type="dxa" w:w="3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DÉCLENCHEUR</w:t>
            </w:r>
          </w:p>
        </w:tc>
        <w:tc>
          <w:tcPr>
            <w:tcW w:type="dxa" w:w="3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RÉPONSE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Construire sans client</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R1 incomplet</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Geler les travaux hors réduction de risque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Confondre testnet et production</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Marketing ou usage réel prématuré</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Avertissements, caps, contrôle et revue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Token-first</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Roadmap orientée prix ou listing</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Revenir au scénario tokenless et au test de nécessité</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Single point of failure</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clé, un RPC ou un collecteur</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Redondance, multisig, rotation et exercices</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Scope inflation</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Plus d’un template avant métriques</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Refuser et isoler dans un backlog</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Juridique tardif</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Flux ou compensation non qualifiés</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Stop et avis écrit</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trop tardif</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Architecture figée sans revue</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Pré-audit R2 puis audit complet R4</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Documentation divergente</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Adresses ou paramètres incohérents</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Bloquer la release sans evidence pack</w:t>
            </w:r>
          </w:p>
        </w:tc>
      </w:tr>
    </w:tbl>
    <w:p>
      <w:pPr>
        <w:spacing w:after="40"/>
      </w:pPr>
    </w:p>
    <w:p>
      <w:pPr>
        <w:pStyle w:val="Heading2"/>
      </w:pPr>
      <w:r>
        <w:t>Actions interdites avant les gates</w:t>
      </w:r>
    </w:p>
    <w:p>
      <w:pPr>
        <w:numPr>
          <w:ilvl w:val="0"/>
          <w:numId w:val="16"/>
        </w:numPr>
        <w:spacing w:after="80" w:line="283" w:lineRule="auto"/>
      </w:pPr>
      <w:r>
        <w:rPr>
          <w:rFonts w:ascii="Arial" w:hAnsi="Arial" w:eastAsia="Arial"/>
          <w:color w:val="162019"/>
          <w:sz w:val="20"/>
        </w:rPr>
        <w:t>annoncer un audit terminé sans rapport signé ;</w:t>
      </w:r>
    </w:p>
    <w:p>
      <w:pPr>
        <w:numPr>
          <w:ilvl w:val="0"/>
          <w:numId w:val="16"/>
        </w:numPr>
        <w:spacing w:after="80" w:line="283" w:lineRule="auto"/>
      </w:pPr>
      <w:r>
        <w:rPr>
          <w:rFonts w:ascii="Arial" w:hAnsi="Arial" w:eastAsia="Arial"/>
          <w:color w:val="162019"/>
          <w:sz w:val="20"/>
        </w:rPr>
        <w:t>présenter Base Sepolia comme une disponibilité de production ;</w:t>
      </w:r>
    </w:p>
    <w:p>
      <w:pPr>
        <w:numPr>
          <w:ilvl w:val="0"/>
          <w:numId w:val="16"/>
        </w:numPr>
        <w:spacing w:after="80" w:line="283" w:lineRule="auto"/>
      </w:pPr>
      <w:r>
        <w:rPr>
          <w:rFonts w:ascii="Arial" w:hAnsi="Arial" w:eastAsia="Arial"/>
          <w:color w:val="162019"/>
          <w:sz w:val="20"/>
        </w:rPr>
        <w:t>déployer sur mainnet ou gérer une valeur réelle sans autorisation formelle ;</w:t>
      </w:r>
    </w:p>
    <w:p>
      <w:pPr>
        <w:numPr>
          <w:ilvl w:val="0"/>
          <w:numId w:val="16"/>
        </w:numPr>
        <w:spacing w:after="80" w:line="283" w:lineRule="auto"/>
      </w:pPr>
      <w:r>
        <w:rPr>
          <w:rFonts w:ascii="Arial" w:hAnsi="Arial" w:eastAsia="Arial"/>
          <w:color w:val="162019"/>
          <w:sz w:val="20"/>
        </w:rPr>
        <w:t>annoncer rendement, prix, liquidité ou revenu pour VERIDIA ;</w:t>
      </w:r>
    </w:p>
    <w:p>
      <w:pPr>
        <w:numPr>
          <w:ilvl w:val="0"/>
          <w:numId w:val="16"/>
        </w:numPr>
        <w:spacing w:after="80" w:line="283" w:lineRule="auto"/>
      </w:pPr>
      <w:r>
        <w:rPr>
          <w:rFonts w:ascii="Arial" w:hAnsi="Arial" w:eastAsia="Arial"/>
          <w:color w:val="162019"/>
          <w:sz w:val="20"/>
        </w:rPr>
        <w:t>présenter une hypothèse ALPHA comme un produit ou un marché validé.</w:t>
      </w:r>
    </w:p>
    <w:p>
      <w:r>
        <w:br w:type="page"/>
      </w:r>
    </w:p>
    <w:p>
      <w:pPr>
        <w:keepNext/>
        <w:spacing w:before="0" w:after="100"/>
      </w:pPr>
      <w:r>
        <w:rPr>
          <w:rFonts w:ascii="Arial" w:hAnsi="Arial" w:eastAsia="Arial"/>
          <w:b/>
          <w:color w:val="C6A15B"/>
          <w:sz w:val="16"/>
        </w:rPr>
        <w:t>DÉCISION DE FIN DE ROADMAP</w:t>
      </w:r>
    </w:p>
    <w:p>
      <w:pPr>
        <w:spacing w:after="300"/>
      </w:pPr>
      <w:r>
        <w:rPr>
          <w:rFonts w:ascii="Arial" w:hAnsi="Arial" w:eastAsia="Arial"/>
          <w:b/>
          <w:color w:val="06110B"/>
          <w:sz w:val="48"/>
        </w:rPr>
        <w:t>Ce que Pacturion doit avoir prouvé</w:t>
      </w:r>
    </w:p>
    <w:p>
      <w:pPr>
        <w:spacing w:before="100" w:after="180" w:line="283" w:lineRule="auto"/>
        <w:ind w:left="227" w:right="170"/>
        <w:shd w:fill="EDF3EF"/>
        <w:pBdr>
          <w:left w:val="single" w:sz="18" w:space="8" w:color="155A3E"/>
        </w:pBdr>
      </w:pPr>
      <w:r>
        <w:rPr>
          <w:rFonts w:ascii="Arial" w:hAnsi="Arial" w:eastAsia="Arial"/>
          <w:b/>
          <w:color w:val="155A3E"/>
          <w:sz w:val="16"/>
        </w:rPr>
        <w:t>SUCCÈS</w:t>
        <w:br/>
      </w:r>
      <w:r>
        <w:rPr>
          <w:rFonts w:ascii="Arial" w:hAnsi="Arial" w:eastAsia="Arial"/>
          <w:b w:val="0"/>
          <w:color w:val="162019"/>
          <w:sz w:val="20"/>
        </w:rPr>
        <w:t>Pacturion aura réussi si son infrastructure réduit un coût ou un risque réel pour des clients payants, reste explicable et opérable sous stress, et peut évoluer sans dépendre d’une narration spéculative.</w:t>
      </w:r>
    </w:p>
    <w:p>
      <w:pPr>
        <w:pStyle w:val="Heading2"/>
      </w:pPr>
      <w:r>
        <w:t>Résultats acceptables à l’horizon 2028</w:t>
      </w:r>
    </w:p>
    <w:p>
      <w:pPr>
        <w:numPr>
          <w:ilvl w:val="0"/>
          <w:numId w:val="16"/>
        </w:numPr>
        <w:spacing w:after="80" w:line="283" w:lineRule="auto"/>
      </w:pPr>
      <w:r>
        <w:rPr>
          <w:rFonts w:ascii="Arial" w:hAnsi="Arial" w:eastAsia="Arial"/>
          <w:color w:val="162019"/>
          <w:sz w:val="20"/>
        </w:rPr>
        <w:t>Un service tokenless rentable et audité : résultat prioritaire.</w:t>
      </w:r>
    </w:p>
    <w:p>
      <w:pPr>
        <w:numPr>
          <w:ilvl w:val="0"/>
          <w:numId w:val="16"/>
        </w:numPr>
        <w:spacing w:after="80" w:line="283" w:lineRule="auto"/>
      </w:pPr>
      <w:r>
        <w:rPr>
          <w:rFonts w:ascii="Arial" w:hAnsi="Arial" w:eastAsia="Arial"/>
          <w:color w:val="162019"/>
          <w:sz w:val="20"/>
        </w:rPr>
        <w:t>Une activation VERIDIA strictement justifiée par une propriété indispensable : résultat conditionnel.</w:t>
      </w:r>
    </w:p>
    <w:p>
      <w:pPr>
        <w:numPr>
          <w:ilvl w:val="0"/>
          <w:numId w:val="16"/>
        </w:numPr>
        <w:spacing w:after="80" w:line="283" w:lineRule="auto"/>
      </w:pPr>
      <w:r>
        <w:rPr>
          <w:rFonts w:ascii="Arial" w:hAnsi="Arial" w:eastAsia="Arial"/>
          <w:color w:val="162019"/>
          <w:sz w:val="20"/>
        </w:rPr>
        <w:t>Le maintien dormant de VERIDIA si sa nécessité n’est pas prouvée : décision disciplinée, pas un échec.</w:t>
      </w:r>
    </w:p>
    <w:p>
      <w:pPr>
        <w:numPr>
          <w:ilvl w:val="0"/>
          <w:numId w:val="16"/>
        </w:numPr>
        <w:spacing w:after="80" w:line="283" w:lineRule="auto"/>
      </w:pPr>
      <w:r>
        <w:rPr>
          <w:rFonts w:ascii="Arial" w:hAnsi="Arial" w:eastAsia="Arial"/>
          <w:color w:val="162019"/>
          <w:sz w:val="20"/>
        </w:rPr>
        <w:t>L’arrêt ou le pivot d’ALPHA si la valeur client n’est pas démontrée : protection du capital et du temps.</w:t>
      </w:r>
    </w:p>
    <w:p>
      <w:pPr>
        <w:numPr>
          <w:ilvl w:val="0"/>
          <w:numId w:val="16"/>
        </w:numPr>
        <w:spacing w:after="80" w:line="283" w:lineRule="auto"/>
      </w:pPr>
      <w:r>
        <w:rPr>
          <w:rFonts w:ascii="Arial" w:hAnsi="Arial" w:eastAsia="Arial"/>
          <w:color w:val="162019"/>
          <w:sz w:val="20"/>
        </w:rPr>
        <w:t>Le maintien de Proof-of-Reality en R&amp;D tant que les sources physiques ne sont pas suffisamment fiables.</w:t>
      </w:r>
    </w:p>
    <w:p>
      <w:pPr>
        <w:pStyle w:val="Heading2"/>
      </w:pPr>
      <w:r>
        <w:t>Prochaines actions immédiates</w:t>
      </w:r>
    </w:p>
    <w:p>
      <w:pPr>
        <w:numPr>
          <w:ilvl w:val="0"/>
          <w:numId w:val="27"/>
        </w:numPr>
        <w:spacing w:after="80" w:line="283" w:lineRule="auto"/>
      </w:pPr>
      <w:r>
        <w:rPr>
          <w:rFonts w:ascii="Arial" w:hAnsi="Arial" w:eastAsia="Arial"/>
          <w:color w:val="162019"/>
          <w:sz w:val="20"/>
        </w:rPr>
        <w:t>Compléter le registre des preuves techniques et figer la baseline Base Sepolia.</w:t>
      </w:r>
    </w:p>
    <w:p>
      <w:pPr>
        <w:numPr>
          <w:ilvl w:val="0"/>
          <w:numId w:val="27"/>
        </w:numPr>
        <w:spacing w:after="80" w:line="283" w:lineRule="auto"/>
      </w:pPr>
      <w:r>
        <w:rPr>
          <w:rFonts w:ascii="Arial" w:hAnsi="Arial" w:eastAsia="Arial"/>
          <w:color w:val="162019"/>
          <w:sz w:val="20"/>
        </w:rPr>
        <w:t>Formaliser les rapports Phase 3.E Human Pilot et Release Candidate.</w:t>
      </w:r>
    </w:p>
    <w:p>
      <w:pPr>
        <w:numPr>
          <w:ilvl w:val="0"/>
          <w:numId w:val="27"/>
        </w:numPr>
        <w:spacing w:after="80" w:line="283" w:lineRule="auto"/>
      </w:pPr>
      <w:r>
        <w:rPr>
          <w:rFonts w:ascii="Arial" w:hAnsi="Arial" w:eastAsia="Arial"/>
          <w:color w:val="162019"/>
          <w:sz w:val="20"/>
        </w:rPr>
        <w:t>Finaliser le White Paper Pacturion V1.0 avec le même état de preuve.</w:t>
      </w:r>
    </w:p>
    <w:p>
      <w:pPr>
        <w:numPr>
          <w:ilvl w:val="0"/>
          <w:numId w:val="27"/>
        </w:numPr>
        <w:spacing w:after="80" w:line="283" w:lineRule="auto"/>
      </w:pPr>
      <w:r>
        <w:rPr>
          <w:rFonts w:ascii="Arial" w:hAnsi="Arial" w:eastAsia="Arial"/>
          <w:color w:val="162019"/>
          <w:sz w:val="20"/>
        </w:rPr>
        <w:t>Préparer les entretiens ALPHA et sélectionner les premiers workflows à observer.</w:t>
      </w:r>
    </w:p>
    <w:p>
      <w:pPr>
        <w:numPr>
          <w:ilvl w:val="0"/>
          <w:numId w:val="27"/>
        </w:numPr>
        <w:spacing w:after="80" w:line="283" w:lineRule="auto"/>
      </w:pPr>
      <w:r>
        <w:rPr>
          <w:rFonts w:ascii="Arial" w:hAnsi="Arial" w:eastAsia="Arial"/>
          <w:color w:val="162019"/>
          <w:sz w:val="20"/>
        </w:rPr>
        <w:t>Cadrer l’audit externe sans communiquer de résultat avant rapport signé.</w:t>
      </w:r>
    </w:p>
    <w:p>
      <w:pPr>
        <w:spacing w:before="100" w:after="180" w:line="283" w:lineRule="auto"/>
        <w:ind w:left="227" w:right="170"/>
        <w:shd w:fill="F6F0E3"/>
        <w:pBdr>
          <w:left w:val="single" w:sz="18" w:space="8" w:color="C6A15B"/>
        </w:pBdr>
      </w:pPr>
      <w:r>
        <w:rPr>
          <w:rFonts w:ascii="Arial" w:hAnsi="Arial" w:eastAsia="Arial"/>
          <w:b/>
          <w:color w:val="C6A15B"/>
          <w:sz w:val="16"/>
        </w:rPr>
        <w:t>RÈGLE FINALE</w:t>
        <w:br/>
      </w:r>
      <w:r>
        <w:rPr>
          <w:rFonts w:ascii="Arial" w:hAnsi="Arial" w:eastAsia="Arial"/>
          <w:b w:val="0"/>
          <w:color w:val="162019"/>
          <w:sz w:val="20"/>
        </w:rPr>
        <w:t>Aucune date, valorisation, distribution, intégration ou revendication de sécurité ne remplace une gate franchie avec des preuves vérifiables.</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ROADMAP 2026–2028 V1.0</w:t>
    </w:r>
    <w:r>
      <w:rPr>
        <w:rFonts w:ascii="Arial" w:hAnsi="Arial" w:eastAsia="Arial"/>
        <w:b/>
        <w:color w:val="C6A15B"/>
        <w:sz w:val="14"/>
      </w:rPr>
      <w:tab/>
      <w:t xml:space="preserve">DOCUMENT DE TRAVAIL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ROADMAP 2026–2028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decimal"/>
      <w:lvlText w:val="%1."/>
      <w:suff w:val="tab"/>
      <w:pPr>
        <w:tabs>
          <w:tab w:val="num" w:pos="540"/>
        </w:tabs>
        <w:ind w:left="540" w:hanging="270"/>
      </w:pPr>
      <w:rPr>
        <w:color w:val="155A3E"/>
      </w:rPr>
    </w:lvl>
  </w:abstractNum>
  <w:num w:numId="17">
    <w:abstractNumId w:val="16"/>
  </w:num>
  <w:abstractNum w:abstractNumId="17">
    <w:multiLevelType w:val="singleLevel"/>
    <w:lvl w:ilvl="0">
      <w:start w:val="1"/>
      <w:numFmt w:val="decimal"/>
      <w:lvlText w:val="%1."/>
      <w:suff w:val="tab"/>
      <w:pPr>
        <w:tabs>
          <w:tab w:val="num" w:pos="540"/>
        </w:tabs>
        <w:ind w:left="540" w:hanging="270"/>
      </w:pPr>
      <w:rPr>
        <w:color w:val="155A3E"/>
      </w:rPr>
    </w:lvl>
  </w:abstractNum>
  <w:num w:numId="18">
    <w:abstractNumId w:val="17"/>
  </w:num>
  <w:abstractNum w:abstractNumId="18">
    <w:multiLevelType w:val="singleLevel"/>
    <w:lvl w:ilvl="0">
      <w:start w:val="1"/>
      <w:numFmt w:val="decimal"/>
      <w:lvlText w:val="%1."/>
      <w:suff w:val="tab"/>
      <w:pPr>
        <w:tabs>
          <w:tab w:val="num" w:pos="540"/>
        </w:tabs>
        <w:ind w:left="540" w:hanging="270"/>
      </w:pPr>
      <w:rPr>
        <w:color w:val="155A3E"/>
      </w:rPr>
    </w:lvl>
  </w:abstractNum>
  <w:num w:numId="19">
    <w:abstractNumId w:val="18"/>
  </w:num>
  <w:abstractNum w:abstractNumId="19">
    <w:multiLevelType w:val="singleLevel"/>
    <w:lvl w:ilvl="0">
      <w:start w:val="1"/>
      <w:numFmt w:val="decimal"/>
      <w:lvlText w:val="%1."/>
      <w:suff w:val="tab"/>
      <w:pPr>
        <w:tabs>
          <w:tab w:val="num" w:pos="540"/>
        </w:tabs>
        <w:ind w:left="540" w:hanging="270"/>
      </w:pPr>
      <w:rPr>
        <w:color w:val="155A3E"/>
      </w:rPr>
    </w:lvl>
  </w:abstractNum>
  <w:num w:numId="20">
    <w:abstractNumId w:val="19"/>
  </w:num>
  <w:abstractNum w:abstractNumId="20">
    <w:multiLevelType w:val="singleLevel"/>
    <w:lvl w:ilvl="0">
      <w:start w:val="1"/>
      <w:numFmt w:val="decimal"/>
      <w:lvlText w:val="%1."/>
      <w:suff w:val="tab"/>
      <w:pPr>
        <w:tabs>
          <w:tab w:val="num" w:pos="540"/>
        </w:tabs>
        <w:ind w:left="540" w:hanging="270"/>
      </w:pPr>
      <w:rPr>
        <w:color w:val="155A3E"/>
      </w:rPr>
    </w:lvl>
  </w:abstractNum>
  <w:num w:numId="21">
    <w:abstractNumId w:val="20"/>
  </w:num>
  <w:abstractNum w:abstractNumId="21">
    <w:multiLevelType w:val="singleLevel"/>
    <w:lvl w:ilvl="0">
      <w:start w:val="1"/>
      <w:numFmt w:val="decimal"/>
      <w:lvlText w:val="%1."/>
      <w:suff w:val="tab"/>
      <w:pPr>
        <w:tabs>
          <w:tab w:val="num" w:pos="540"/>
        </w:tabs>
        <w:ind w:left="540" w:hanging="270"/>
      </w:pPr>
      <w:rPr>
        <w:color w:val="155A3E"/>
      </w:rPr>
    </w:lvl>
  </w:abstractNum>
  <w:num w:numId="22">
    <w:abstractNumId w:val="21"/>
  </w:num>
  <w:abstractNum w:abstractNumId="22">
    <w:multiLevelType w:val="singleLevel"/>
    <w:lvl w:ilvl="0">
      <w:start w:val="1"/>
      <w:numFmt w:val="decimal"/>
      <w:lvlText w:val="%1."/>
      <w:suff w:val="tab"/>
      <w:pPr>
        <w:tabs>
          <w:tab w:val="num" w:pos="540"/>
        </w:tabs>
        <w:ind w:left="540" w:hanging="270"/>
      </w:pPr>
      <w:rPr>
        <w:color w:val="155A3E"/>
      </w:rPr>
    </w:lvl>
  </w:abstractNum>
  <w:num w:numId="23">
    <w:abstractNumId w:val="22"/>
  </w:num>
  <w:abstractNum w:abstractNumId="23">
    <w:multiLevelType w:val="singleLevel"/>
    <w:lvl w:ilvl="0">
      <w:start w:val="1"/>
      <w:numFmt w:val="decimal"/>
      <w:lvlText w:val="%1."/>
      <w:suff w:val="tab"/>
      <w:pPr>
        <w:tabs>
          <w:tab w:val="num" w:pos="540"/>
        </w:tabs>
        <w:ind w:left="540" w:hanging="270"/>
      </w:pPr>
      <w:rPr>
        <w:color w:val="155A3E"/>
      </w:rPr>
    </w:lvl>
  </w:abstractNum>
  <w:num w:numId="24">
    <w:abstractNumId w:val="23"/>
  </w:num>
  <w:abstractNum w:abstractNumId="24">
    <w:multiLevelType w:val="singleLevel"/>
    <w:lvl w:ilvl="0">
      <w:start w:val="1"/>
      <w:numFmt w:val="decimal"/>
      <w:lvlText w:val="%1."/>
      <w:suff w:val="tab"/>
      <w:pPr>
        <w:tabs>
          <w:tab w:val="num" w:pos="540"/>
        </w:tabs>
        <w:ind w:left="540" w:hanging="270"/>
      </w:pPr>
      <w:rPr>
        <w:color w:val="155A3E"/>
      </w:rPr>
    </w:lvl>
  </w:abstractNum>
  <w:num w:numId="25">
    <w:abstractNumId w:val="24"/>
  </w:num>
  <w:abstractNum w:abstractNumId="25">
    <w:multiLevelType w:val="singleLevel"/>
    <w:lvl w:ilvl="0">
      <w:start w:val="1"/>
      <w:numFmt w:val="decimal"/>
      <w:lvlText w:val="%1."/>
      <w:suff w:val="tab"/>
      <w:pPr>
        <w:tabs>
          <w:tab w:val="num" w:pos="540"/>
        </w:tabs>
        <w:ind w:left="540" w:hanging="270"/>
      </w:pPr>
      <w:rPr>
        <w:color w:val="155A3E"/>
      </w:rPr>
    </w:lvl>
  </w:abstractNum>
  <w:num w:numId="26">
    <w:abstractNumId w:val="25"/>
  </w:num>
  <w:abstractNum w:abstractNumId="26">
    <w:multiLevelType w:val="singleLevel"/>
    <w:lvl w:ilvl="0">
      <w:start w:val="1"/>
      <w:numFmt w:val="decimal"/>
      <w:lvlText w:val="%1."/>
      <w:suff w:val="tab"/>
      <w:pPr>
        <w:tabs>
          <w:tab w:val="num" w:pos="540"/>
        </w:tabs>
        <w:ind w:left="540" w:hanging="270"/>
      </w:pPr>
      <w:rPr>
        <w:color w:val="155A3E"/>
      </w:rPr>
    </w:lvl>
  </w:abstract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Roadmap 2026–2028</dc:title>
  <dc:subject>Trajectoire à jalons de Pacturion et VERIDIA Protocol</dc:subject>
  <dc:creator>Pacturion</dc:creator>
  <cp:keywords>Pacturion, VERIDIA Protocol, roadmap, Base Sepolia, audit, ALPHA</cp:keywords>
  <dc:description>Document de travail contrôlé — aucune autorisation mainnet ou distribution publique.</dc:description>
  <cp:lastModifiedBy/>
  <cp:revision>1</cp:revision>
  <dcterms:created xsi:type="dcterms:W3CDTF">2013-12-23T23:15:00Z</dcterms:created>
  <dcterms:modified xsi:type="dcterms:W3CDTF">2013-12-23T23:15:00Z</dcterms:modified>
  <cp:category/>
</cp:coreProperties>
</file>