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4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120"/>
      </w:pPr>
      <w:r>
        <w:rPr>
          <w:rFonts w:ascii="Arial" w:hAnsi="Arial" w:eastAsia="Arial"/>
          <w:b/>
          <w:color w:val="06110B"/>
          <w:sz w:val="58"/>
        </w:rPr>
        <w:t>SPÉCIFICATION ALPHA</w:t>
      </w:r>
    </w:p>
    <w:p>
      <w:pPr>
        <w:spacing w:after="160"/>
      </w:pPr>
      <w:r>
        <w:rPr>
          <w:rFonts w:ascii="Arial" w:hAnsi="Arial" w:eastAsia="Arial"/>
          <w:color w:val="155A3E"/>
          <w:sz w:val="34"/>
        </w:rPr>
        <w:t>Spécification fonctionnelle et technique V1.0</w:t>
      </w:r>
    </w:p>
    <w:p>
      <w:pPr>
        <w:spacing w:after="440"/>
      </w:pPr>
      <w:r>
        <w:rPr>
          <w:rFonts w:ascii="Arial" w:hAnsi="Arial" w:eastAsia="Arial"/>
          <w:color w:val="162019"/>
          <w:sz w:val="23"/>
        </w:rPr>
        <w:t>Couche de garantie de service objective pour engagements on-chain bornés.</w:t>
      </w:r>
    </w:p>
    <w:tbl>
      <w:tblPr>
        <w:tblStyle w:val="TableGrid"/>
        <w:tblW w:type="dxa" w:w="9500"/>
        <w:jc w:val="left"/>
        <w:tblLayout w:type="fixed"/>
        <w:tblLook w:firstColumn="1" w:firstRow="1" w:lastColumn="0" w:lastRow="0" w:noHBand="0" w:noVBand="1" w:val="04A0"/>
        <w:tblInd w:w="120" w:type="dxa"/>
      </w:tblPr>
      <w:tblGrid>
        <w:gridCol w:w="1300"/>
        <w:gridCol w:w="2100"/>
        <w:gridCol w:w="3000"/>
        <w:gridCol w:w="31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PORTÉE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Cible produit contrôlée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ALPHA / VERIDIA Protocol</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STATUT</w:t>
        <w:br/>
      </w:r>
      <w:r>
        <w:rPr>
          <w:rFonts w:ascii="Arial" w:hAnsi="Arial" w:eastAsia="Arial"/>
          <w:b w:val="0"/>
          <w:color w:val="162019"/>
          <w:sz w:val="20"/>
        </w:rPr>
        <w:t>ALPHA est un nom de travail interne et une hypothèse produit de Pacturion. Cette spécification définit la cible à construire et à valider ; elle ne prouve ni un besoin marché, ni un pilote client externe, ni une aptitude à la production.</w:t>
      </w:r>
    </w:p>
    <w:p>
      <w:pPr>
        <w:spacing w:before="520"/>
      </w:pPr>
      <w:r>
        <w:rPr>
          <w:rFonts w:ascii="Arial" w:hAnsi="Arial" w:eastAsia="Arial"/>
          <w:b/>
          <w:color w:val="C6A15B"/>
          <w:sz w:val="22"/>
        </w:rPr>
        <w:t>Une obligation claire. Une preuve bornée. Une décision explicable.</w:t>
      </w:r>
    </w:p>
    <w:p>
      <w:r>
        <w:br w:type="page"/>
      </w:r>
    </w:p>
    <w:p>
      <w:pPr>
        <w:keepNext/>
        <w:spacing w:before="440" w:after="100"/>
      </w:pPr>
      <w:r>
        <w:rPr>
          <w:rFonts w:ascii="Arial" w:hAnsi="Arial" w:eastAsia="Arial"/>
          <w:b/>
          <w:color w:val="C6A15B"/>
          <w:sz w:val="16"/>
        </w:rPr>
        <w:t>CHAPITRE 00</w:t>
      </w:r>
    </w:p>
    <w:p>
      <w:pPr>
        <w:pStyle w:val="Heading1"/>
        <w:pageBreakBefore w:val="0"/>
      </w:pPr>
      <w:r>
        <w:t>Contrôle du document</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Propriétaire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Infrastructure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VERIDIA Protocol</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Produit</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ALPHA — hypothèse produit prioritaire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Version</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1.0</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Date de référence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8 septembre 2026</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Environnement actuel</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Local et Base Sepolia signalé ; preuves de déploiement à annexer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État technique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Phase 3B PASS interne ; Phase 3.E et Release Candidate PASS déclarés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Audit indépendant</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réalisé</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Marché</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validé ; aucun pilote client externe prouvé</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Décision de lancement</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Mainnet et fonctions économiques non autorisés</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RÈGLE DE LECTURE</w:t>
        <w:br/>
      </w:r>
      <w:r>
        <w:rPr>
          <w:rFonts w:ascii="Arial" w:hAnsi="Arial" w:eastAsia="Arial"/>
          <w:b w:val="0"/>
          <w:color w:val="162019"/>
          <w:sz w:val="20"/>
        </w:rPr>
        <w:t>Les verbes « doit », « exige » et « interdit » décrivent la cible normative. Les mentions « actuel », « déclaré » et « à annexer » décrivent l’état de preuve disponible.</w:t>
      </w:r>
    </w:p>
    <w:p>
      <w:pPr>
        <w:pStyle w:val="Heading2"/>
      </w:pPr>
      <w:r>
        <w:t>Table des matières</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Mandat produit et périmètre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Cas d’usage initial et acteurs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Cycle de vie et machine d’état</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Modèle de demande, politique et preuve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Exigences fonctionnelles et interfaces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Données, sécurité et opérations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Validation, tests et critères de sortie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Protocole pilote et métriques produit</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Traçabilité, décisions ouvertes et annexes</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Mandat produit et périmètre</w:t>
      </w:r>
    </w:p>
    <w:p>
      <w:pPr>
        <w:keepNext/>
        <w:spacing w:after="320"/>
      </w:pPr>
      <w:r>
        <w:rPr>
          <w:rFonts w:ascii="Arial" w:hAnsi="Arial" w:eastAsia="Arial"/>
          <w:i/>
          <w:color w:val="66736B"/>
          <w:sz w:val="25"/>
        </w:rPr>
        <w:t>Transformer une règle on-chain observable en engagement borné, explicable et falsifiable.</w:t>
      </w:r>
    </w:p>
    <w:p>
      <w:pPr>
        <w:pStyle w:val="Heading2"/>
      </w:pPr>
      <w:r>
        <w:t>Définition</w:t>
      </w:r>
    </w:p>
    <w:p>
      <w:pPr>
        <w:spacing w:after="140" w:line="307" w:lineRule="auto"/>
      </w:pPr>
      <w:r>
        <w:rPr>
          <w:rFonts w:ascii="Arial" w:hAnsi="Arial" w:eastAsia="Arial"/>
          <w:i w:val="0"/>
          <w:color w:val="162019"/>
          <w:sz w:val="20"/>
        </w:rPr>
        <w:t>ALPHA est une couche de garantie de service objective autour d’une action on-chain déterminée et limitée dans le temps. Un demandeur décrit l’action attendue, le fournisseur l’accepte, des collecteurs autorisés observent les sources définies et le moteur de preuve classe le résultat selon une politique versionnée.</w:t>
      </w:r>
    </w:p>
    <w:p>
      <w:pPr>
        <w:spacing w:before="100" w:after="180" w:line="283" w:lineRule="auto"/>
        <w:ind w:left="227" w:right="170"/>
        <w:shd w:fill="EDF3EF"/>
        <w:pBdr>
          <w:left w:val="single" w:sz="18" w:space="8" w:color="155A3E"/>
        </w:pBdr>
      </w:pPr>
      <w:r>
        <w:rPr>
          <w:rFonts w:ascii="Arial" w:hAnsi="Arial" w:eastAsia="Arial"/>
          <w:b/>
          <w:color w:val="155A3E"/>
          <w:sz w:val="16"/>
        </w:rPr>
        <w:t>PROPOSITION À TESTER</w:t>
        <w:br/>
      </w:r>
      <w:r>
        <w:rPr>
          <w:rFonts w:ascii="Arial" w:hAnsi="Arial" w:eastAsia="Arial"/>
          <w:b w:val="0"/>
          <w:color w:val="162019"/>
          <w:sz w:val="20"/>
        </w:rPr>
        <w:t>ALPHA crée de la valeur uniquement s’il réduit un coût réel d’oubli, de rapprochement, d’escalade ou de contestation par rapport à la meilleure alternative disponible.</w:t>
      </w:r>
    </w:p>
    <w:p>
      <w:pPr>
        <w:pStyle w:val="Heading2"/>
      </w:pPr>
      <w:r>
        <w:t>Objectifs V1</w:t>
      </w:r>
    </w:p>
    <w:p>
      <w:pPr>
        <w:numPr>
          <w:ilvl w:val="0"/>
          <w:numId w:val="16"/>
        </w:numPr>
        <w:spacing w:after="80" w:line="283" w:lineRule="auto"/>
      </w:pPr>
      <w:r>
        <w:rPr>
          <w:rFonts w:ascii="Arial" w:hAnsi="Arial" w:eastAsia="Arial"/>
          <w:color w:val="162019"/>
          <w:sz w:val="20"/>
        </w:rPr>
        <w:t>Limiter le produit à un seul template d’action objectivement observable.</w:t>
      </w:r>
    </w:p>
    <w:p>
      <w:pPr>
        <w:numPr>
          <w:ilvl w:val="0"/>
          <w:numId w:val="16"/>
        </w:numPr>
        <w:spacing w:after="80" w:line="283" w:lineRule="auto"/>
      </w:pPr>
      <w:r>
        <w:rPr>
          <w:rFonts w:ascii="Arial" w:hAnsi="Arial" w:eastAsia="Arial"/>
          <w:color w:val="162019"/>
          <w:sz w:val="20"/>
        </w:rPr>
        <w:t>Figer les paramètres critiques avant acceptation et conserver leur empreinte.</w:t>
      </w:r>
    </w:p>
    <w:p>
      <w:pPr>
        <w:numPr>
          <w:ilvl w:val="0"/>
          <w:numId w:val="16"/>
        </w:numPr>
        <w:spacing w:after="80" w:line="283" w:lineRule="auto"/>
      </w:pPr>
      <w:r>
        <w:rPr>
          <w:rFonts w:ascii="Arial" w:hAnsi="Arial" w:eastAsia="Arial"/>
          <w:color w:val="162019"/>
          <w:sz w:val="20"/>
        </w:rPr>
        <w:t>Distinguer présence d’une preuve, absence de preuve et preuve d’absence.</w:t>
      </w:r>
    </w:p>
    <w:p>
      <w:pPr>
        <w:numPr>
          <w:ilvl w:val="0"/>
          <w:numId w:val="16"/>
        </w:numPr>
        <w:spacing w:after="80" w:line="283" w:lineRule="auto"/>
      </w:pPr>
      <w:r>
        <w:rPr>
          <w:rFonts w:ascii="Arial" w:hAnsi="Arial" w:eastAsia="Arial"/>
          <w:color w:val="162019"/>
          <w:sz w:val="20"/>
        </w:rPr>
        <w:t>Produire une décision reproductible, expliquée et idempotente.</w:t>
      </w:r>
    </w:p>
    <w:p>
      <w:pPr>
        <w:numPr>
          <w:ilvl w:val="0"/>
          <w:numId w:val="16"/>
        </w:numPr>
        <w:spacing w:after="80" w:line="283" w:lineRule="auto"/>
      </w:pPr>
      <w:r>
        <w:rPr>
          <w:rFonts w:ascii="Arial" w:hAnsi="Arial" w:eastAsia="Arial"/>
          <w:color w:val="162019"/>
          <w:sz w:val="20"/>
        </w:rPr>
        <w:t>Fonctionner sans exiger le token VERIDIA ni une conséquence financière.</w:t>
      </w:r>
    </w:p>
    <w:p>
      <w:pPr>
        <w:numPr>
          <w:ilvl w:val="0"/>
          <w:numId w:val="16"/>
        </w:numPr>
        <w:spacing w:after="80" w:line="283" w:lineRule="auto"/>
      </w:pPr>
      <w:r>
        <w:rPr>
          <w:rFonts w:ascii="Arial" w:hAnsi="Arial" w:eastAsia="Arial"/>
          <w:color w:val="162019"/>
          <w:sz w:val="20"/>
        </w:rPr>
        <w:t>Générer un dossier de preuve exportable pour revue humaine et audit.</w:t>
      </w:r>
    </w:p>
    <w:p>
      <w:pPr>
        <w:pStyle w:val="Heading2"/>
      </w:pPr>
      <w:r>
        <w:t>Hors périmètre V1</w:t>
      </w:r>
    </w:p>
    <w:p>
      <w:pPr>
        <w:numPr>
          <w:ilvl w:val="0"/>
          <w:numId w:val="17"/>
        </w:numPr>
        <w:spacing w:after="80" w:line="283" w:lineRule="auto"/>
      </w:pPr>
      <w:r>
        <w:rPr>
          <w:rFonts w:ascii="Arial" w:hAnsi="Arial" w:eastAsia="Arial"/>
          <w:color w:val="162019"/>
          <w:sz w:val="20"/>
        </w:rPr>
        <w:t>Jugement de qualité d’une prestation humaine ou décision subjective.</w:t>
      </w:r>
    </w:p>
    <w:p>
      <w:pPr>
        <w:numPr>
          <w:ilvl w:val="0"/>
          <w:numId w:val="17"/>
        </w:numPr>
        <w:spacing w:after="80" w:line="283" w:lineRule="auto"/>
      </w:pPr>
      <w:r>
        <w:rPr>
          <w:rFonts w:ascii="Arial" w:hAnsi="Arial" w:eastAsia="Arial"/>
          <w:color w:val="162019"/>
          <w:sz w:val="20"/>
        </w:rPr>
        <w:t>Promesse universelle de disponibilité, assurance réglementée ou indemnisation non préfinancée.</w:t>
      </w:r>
    </w:p>
    <w:p>
      <w:pPr>
        <w:numPr>
          <w:ilvl w:val="0"/>
          <w:numId w:val="17"/>
        </w:numPr>
        <w:spacing w:after="80" w:line="283" w:lineRule="auto"/>
      </w:pPr>
      <w:r>
        <w:rPr>
          <w:rFonts w:ascii="Arial" w:hAnsi="Arial" w:eastAsia="Arial"/>
          <w:color w:val="162019"/>
          <w:sz w:val="20"/>
        </w:rPr>
        <w:t>Donnée physique non authentifiée, Proof-of-Reality de production ou vérité automatique hors chaîne.</w:t>
      </w:r>
    </w:p>
    <w:p>
      <w:pPr>
        <w:numPr>
          <w:ilvl w:val="0"/>
          <w:numId w:val="17"/>
        </w:numPr>
        <w:spacing w:after="80" w:line="283" w:lineRule="auto"/>
      </w:pPr>
      <w:r>
        <w:rPr>
          <w:rFonts w:ascii="Arial" w:hAnsi="Arial" w:eastAsia="Arial"/>
          <w:color w:val="162019"/>
          <w:sz w:val="20"/>
        </w:rPr>
        <w:t>Vote de gouvernance permettant de réécrire un résultat historique.</w:t>
      </w:r>
    </w:p>
    <w:p>
      <w:pPr>
        <w:numPr>
          <w:ilvl w:val="0"/>
          <w:numId w:val="17"/>
        </w:numPr>
        <w:spacing w:after="80" w:line="283" w:lineRule="auto"/>
      </w:pPr>
      <w:r>
        <w:rPr>
          <w:rFonts w:ascii="Arial" w:hAnsi="Arial" w:eastAsia="Arial"/>
          <w:color w:val="162019"/>
          <w:sz w:val="20"/>
        </w:rPr>
        <w:t>Mainnet, distribution publique du token, rendement, APY, partage de revenus ou soutien de prix.</w:t>
      </w:r>
    </w:p>
    <w:p>
      <w:pPr>
        <w:numPr>
          <w:ilvl w:val="0"/>
          <w:numId w:val="17"/>
        </w:numPr>
        <w:spacing w:after="80" w:line="283" w:lineRule="auto"/>
      </w:pPr>
      <w:r>
        <w:rPr>
          <w:rFonts w:ascii="Arial" w:hAnsi="Arial" w:eastAsia="Arial"/>
          <w:color w:val="162019"/>
          <w:sz w:val="20"/>
        </w:rPr>
        <w:t>Automatisation multi-chaînes avant validation d’un premier workflow réel.</w:t>
      </w:r>
    </w:p>
    <w:p>
      <w:pPr>
        <w:pStyle w:val="Heading2"/>
      </w:pPr>
      <w:r>
        <w:t>Principes normatifs</w:t>
      </w:r>
    </w:p>
    <w:p>
      <w:pPr>
        <w:numPr>
          <w:ilvl w:val="0"/>
          <w:numId w:val="18"/>
        </w:numPr>
        <w:spacing w:after="80" w:line="283" w:lineRule="auto"/>
      </w:pPr>
      <w:r>
        <w:rPr>
          <w:rFonts w:ascii="Arial" w:hAnsi="Arial" w:eastAsia="Arial"/>
          <w:color w:val="162019"/>
          <w:sz w:val="20"/>
        </w:rPr>
        <w:t>Fail closed : une preuve insuffisante produit UNDETERMINED, jamais une faute inventée.</w:t>
      </w:r>
    </w:p>
    <w:p>
      <w:pPr>
        <w:numPr>
          <w:ilvl w:val="0"/>
          <w:numId w:val="18"/>
        </w:numPr>
        <w:spacing w:after="80" w:line="283" w:lineRule="auto"/>
      </w:pPr>
      <w:r>
        <w:rPr>
          <w:rFonts w:ascii="Arial" w:hAnsi="Arial" w:eastAsia="Arial"/>
          <w:color w:val="162019"/>
          <w:sz w:val="20"/>
        </w:rPr>
        <w:t>Responsabilité bornée : action, fenêtre, montants et exceptions sont plafonnés avant acceptation.</w:t>
      </w:r>
    </w:p>
    <w:p>
      <w:pPr>
        <w:numPr>
          <w:ilvl w:val="0"/>
          <w:numId w:val="18"/>
        </w:numPr>
        <w:spacing w:after="80" w:line="283" w:lineRule="auto"/>
      </w:pPr>
      <w:r>
        <w:rPr>
          <w:rFonts w:ascii="Arial" w:hAnsi="Arial" w:eastAsia="Arial"/>
          <w:color w:val="162019"/>
          <w:sz w:val="20"/>
        </w:rPr>
        <w:t>Séparation : demande, observation, classification et conséquence restent des étapes distinctes.</w:t>
      </w:r>
    </w:p>
    <w:p>
      <w:pPr>
        <w:numPr>
          <w:ilvl w:val="0"/>
          <w:numId w:val="18"/>
        </w:numPr>
        <w:spacing w:after="80" w:line="283" w:lineRule="auto"/>
      </w:pPr>
      <w:r>
        <w:rPr>
          <w:rFonts w:ascii="Arial" w:hAnsi="Arial" w:eastAsia="Arial"/>
          <w:color w:val="162019"/>
          <w:sz w:val="20"/>
        </w:rPr>
        <w:t>Minimisation : seules les empreintes, versions et références nécessaires vont on-chain.</w:t>
      </w:r>
    </w:p>
    <w:p>
      <w:pPr>
        <w:numPr>
          <w:ilvl w:val="0"/>
          <w:numId w:val="18"/>
        </w:numPr>
        <w:spacing w:after="80" w:line="283" w:lineRule="auto"/>
      </w:pPr>
      <w:r>
        <w:rPr>
          <w:rFonts w:ascii="Arial" w:hAnsi="Arial" w:eastAsia="Arial"/>
          <w:color w:val="162019"/>
          <w:sz w:val="20"/>
        </w:rPr>
        <w:t>Tokenless par défaut : le produit doit démontrer sa valeur sans dépendance au token VERIDIA.</w:t>
      </w:r>
    </w:p>
    <w:p>
      <w:pPr>
        <w:keepNext/>
        <w:spacing w:before="440" w:after="100"/>
      </w:pPr>
      <w:r>
        <w:rPr>
          <w:rFonts w:ascii="Arial" w:hAnsi="Arial" w:eastAsia="Arial"/>
          <w:b/>
          <w:color w:val="C6A15B"/>
          <w:sz w:val="16"/>
        </w:rPr>
        <w:t>CHAPITRE 02</w:t>
      </w:r>
    </w:p>
    <w:p>
      <w:pPr>
        <w:pStyle w:val="Heading1"/>
        <w:pageBreakBefore w:val="0"/>
      </w:pPr>
      <w:r>
        <w:t>Cas d’usage initial et acteurs</w:t>
      </w:r>
    </w:p>
    <w:p>
      <w:pPr>
        <w:pStyle w:val="Heading2"/>
      </w:pPr>
      <w:r>
        <w:t>Template initial</w:t>
      </w:r>
    </w:p>
    <w:p>
      <w:pPr>
        <w:spacing w:after="140" w:line="307" w:lineRule="auto"/>
      </w:pPr>
      <w:r>
        <w:rPr>
          <w:rFonts w:ascii="Arial" w:hAnsi="Arial" w:eastAsia="Arial"/>
          <w:i w:val="0"/>
          <w:color w:val="162019"/>
          <w:sz w:val="20"/>
        </w:rPr>
        <w:t>Le premier template cible une revendication avant échéance : une action on-chain connue à l’avance doit être soumise à un contrat et une fonction déterminés, avec des paramètres autorisés, avant une deadline immuable. La V1 ne doit pas généraliser au-delà de cette forme tant qu’un workflow client réel n’a pas été observé.</w:t>
      </w:r>
    </w:p>
    <w:tbl>
      <w:tblPr>
        <w:tblStyle w:val="TableGrid"/>
        <w:tblW w:type="dxa" w:w="9500"/>
        <w:jc w:val="left"/>
        <w:tblLayout w:type="fixed"/>
        <w:tblLook w:firstColumn="1" w:firstRow="1" w:lastColumn="0" w:lastRow="0" w:noHBand="0" w:noVBand="1" w:val="04A0"/>
        <w:tblInd w:w="120" w:type="dxa"/>
      </w:tblPr>
      <w:tblGrid>
        <w:gridCol w:w="2100"/>
        <w:gridCol w:w="3700"/>
        <w:gridCol w:w="37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3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Admissible</w:t>
            </w:r>
          </w:p>
        </w:tc>
        <w:tc>
          <w:tcPr>
            <w:tcW w:type="dxa" w:w="3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Rejet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Action</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Contrat, fonction et événement connus</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 discrétionnaire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Temps</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Deadline immuable ou contractuellement bornée</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Fenêtre modifiable sans règle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Événement canonique et finalisable</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Simple assertion HTTP publique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Identité</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Acteurs et collecteurs authentifiés</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Adresse non rattachée à un rôle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Impact</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Coût ou risque réel mesurable</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Impact purement narratif</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Alternative</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Processus manuel ou fragile comparable</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Automatisation existante plus simple</w:t>
            </w:r>
          </w:p>
        </w:tc>
      </w:tr>
    </w:tbl>
    <w:p>
      <w:pPr>
        <w:spacing w:after="40"/>
      </w:pPr>
    </w:p>
    <w:p>
      <w:pPr>
        <w:pStyle w:val="Heading2"/>
      </w:pPr>
      <w:r>
        <w:t>Acteurs et responsabilités</w:t>
      </w:r>
    </w:p>
    <w:tbl>
      <w:tblPr>
        <w:tblStyle w:val="TableGrid"/>
        <w:tblW w:type="dxa" w:w="9500"/>
        <w:jc w:val="left"/>
        <w:tblLayout w:type="fixed"/>
        <w:tblLook w:firstColumn="1" w:firstRow="1" w:lastColumn="0" w:lastRow="0" w:noHBand="0" w:noVBand="1" w:val="04A0"/>
        <w:tblInd w:w="120" w:type="dxa"/>
      </w:tblPr>
      <w:tblGrid>
        <w:gridCol w:w="2200"/>
        <w:gridCol w:w="3000"/>
        <w:gridCol w:w="4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Acteur</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43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Ne prouve pas seul</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Demandeur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Définit et finance l’engagement autorisé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validité future de toutes les conditions</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Fournisseur</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Accepte l’obligation et exécute l’action</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 l’absence d’événement lui est imputable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Observe une source autorisée et signe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vérité universelle hors de sa source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Moteur de preuve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Vérifie format, version, cohérence et finalité</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Une information subjective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Indexer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Reconstruit l’état canonique et gère les reorgs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finalité avant le seuil défini</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Opérateur</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Supervise, alerte et applique les runbooks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 droit de modifier un résultat</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Relecteur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Examine les cas contestés ou indéterminés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Une preuve technique manquante</w:t>
            </w:r>
          </w:p>
        </w:tc>
      </w:tr>
    </w:tbl>
    <w:p>
      <w:pPr>
        <w:spacing w:after="40"/>
      </w:pPr>
    </w:p>
    <w:p>
      <w:pPr>
        <w:pStyle w:val="Heading2"/>
      </w:pPr>
      <w:r>
        <w:t>Hypothèses à falsifier</w:t>
      </w:r>
    </w:p>
    <w:p>
      <w:pPr>
        <w:numPr>
          <w:ilvl w:val="0"/>
          <w:numId w:val="19"/>
        </w:numPr>
        <w:spacing w:after="80" w:line="283" w:lineRule="auto"/>
      </w:pPr>
      <w:r>
        <w:rPr>
          <w:rFonts w:ascii="Arial" w:hAnsi="Arial" w:eastAsia="Arial"/>
          <w:color w:val="162019"/>
          <w:sz w:val="20"/>
        </w:rPr>
        <w:t>Le problème survient assez souvent pour justifier une intégration.</w:t>
      </w:r>
    </w:p>
    <w:p>
      <w:pPr>
        <w:numPr>
          <w:ilvl w:val="0"/>
          <w:numId w:val="19"/>
        </w:numPr>
        <w:spacing w:after="80" w:line="283" w:lineRule="auto"/>
      </w:pPr>
      <w:r>
        <w:rPr>
          <w:rFonts w:ascii="Arial" w:hAnsi="Arial" w:eastAsia="Arial"/>
          <w:color w:val="162019"/>
          <w:sz w:val="20"/>
        </w:rPr>
        <w:t>Le coût évité est supérieur au coût de configuration, de chaîne, de monitoring et de support.</w:t>
      </w:r>
    </w:p>
    <w:p>
      <w:pPr>
        <w:numPr>
          <w:ilvl w:val="0"/>
          <w:numId w:val="19"/>
        </w:numPr>
        <w:spacing w:after="80" w:line="283" w:lineRule="auto"/>
      </w:pPr>
      <w:r>
        <w:rPr>
          <w:rFonts w:ascii="Arial" w:hAnsi="Arial" w:eastAsia="Arial"/>
          <w:color w:val="162019"/>
          <w:sz w:val="20"/>
        </w:rPr>
        <w:t>Les parties acceptent à l’avance une politique de résultat et d’exception.</w:t>
      </w:r>
    </w:p>
    <w:p>
      <w:pPr>
        <w:numPr>
          <w:ilvl w:val="0"/>
          <w:numId w:val="19"/>
        </w:numPr>
        <w:spacing w:after="80" w:line="283" w:lineRule="auto"/>
      </w:pPr>
      <w:r>
        <w:rPr>
          <w:rFonts w:ascii="Arial" w:hAnsi="Arial" w:eastAsia="Arial"/>
          <w:color w:val="162019"/>
          <w:sz w:val="20"/>
        </w:rPr>
        <w:t>La meilleure alternative ne résout pas déjà le problème plus simplement.</w:t>
      </w:r>
    </w:p>
    <w:p>
      <w:pPr>
        <w:numPr>
          <w:ilvl w:val="0"/>
          <w:numId w:val="19"/>
        </w:numPr>
        <w:spacing w:after="80" w:line="283" w:lineRule="auto"/>
      </w:pPr>
      <w:r>
        <w:rPr>
          <w:rFonts w:ascii="Arial" w:hAnsi="Arial" w:eastAsia="Arial"/>
          <w:color w:val="162019"/>
          <w:sz w:val="20"/>
        </w:rPr>
        <w:t>Une conséquence symbolique ou opérationnelle suffit pour le pilote initial.</w:t>
      </w:r>
    </w:p>
    <w:p>
      <w:pPr>
        <w:keepNext/>
        <w:spacing w:before="440" w:after="100"/>
      </w:pPr>
      <w:r>
        <w:rPr>
          <w:rFonts w:ascii="Arial" w:hAnsi="Arial" w:eastAsia="Arial"/>
          <w:b/>
          <w:color w:val="C6A15B"/>
          <w:sz w:val="16"/>
        </w:rPr>
        <w:t>CHAPITRE 03</w:t>
      </w:r>
    </w:p>
    <w:p>
      <w:pPr>
        <w:pStyle w:val="Heading1"/>
        <w:pageBreakBefore w:val="0"/>
      </w:pPr>
      <w:r>
        <w:t>Cycle de vie et machine d’état</w:t>
      </w:r>
    </w:p>
    <w:p>
      <w:pPr>
        <w:pStyle w:val="Heading2"/>
      </w:pPr>
      <w:r>
        <w:t>Cycle nominal</w:t>
      </w:r>
    </w:p>
    <w:p>
      <w:pPr>
        <w:numPr>
          <w:ilvl w:val="0"/>
          <w:numId w:val="20"/>
        </w:numPr>
        <w:spacing w:after="80" w:line="283" w:lineRule="auto"/>
      </w:pPr>
      <w:r>
        <w:rPr>
          <w:rFonts w:ascii="Arial" w:hAnsi="Arial" w:eastAsia="Arial"/>
          <w:color w:val="162019"/>
          <w:sz w:val="20"/>
        </w:rPr>
        <w:t>Création : le demandeur fournit le template, les acteurs, la cible, les paramètres, la fenêtre et la politique.</w:t>
      </w:r>
    </w:p>
    <w:p>
      <w:pPr>
        <w:numPr>
          <w:ilvl w:val="0"/>
          <w:numId w:val="20"/>
        </w:numPr>
        <w:spacing w:after="80" w:line="283" w:lineRule="auto"/>
      </w:pPr>
      <w:r>
        <w:rPr>
          <w:rFonts w:ascii="Arial" w:hAnsi="Arial" w:eastAsia="Arial"/>
          <w:color w:val="162019"/>
          <w:sz w:val="20"/>
        </w:rPr>
        <w:t>Validation préalable : le système rejette les champs absents, montants non bornés, doublons et versions inconnues.</w:t>
      </w:r>
    </w:p>
    <w:p>
      <w:pPr>
        <w:numPr>
          <w:ilvl w:val="0"/>
          <w:numId w:val="20"/>
        </w:numPr>
        <w:spacing w:after="80" w:line="283" w:lineRule="auto"/>
      </w:pPr>
      <w:r>
        <w:rPr>
          <w:rFonts w:ascii="Arial" w:hAnsi="Arial" w:eastAsia="Arial"/>
          <w:color w:val="162019"/>
          <w:sz w:val="20"/>
        </w:rPr>
        <w:t>Acceptation : le fournisseur signe l’empreinte complète ; les champs critiques deviennent immuables.</w:t>
      </w:r>
    </w:p>
    <w:p>
      <w:pPr>
        <w:numPr>
          <w:ilvl w:val="0"/>
          <w:numId w:val="20"/>
        </w:numPr>
        <w:spacing w:after="80" w:line="283" w:lineRule="auto"/>
      </w:pPr>
      <w:r>
        <w:rPr>
          <w:rFonts w:ascii="Arial" w:hAnsi="Arial" w:eastAsia="Arial"/>
          <w:color w:val="162019"/>
          <w:sz w:val="20"/>
        </w:rPr>
        <w:t>Observation : les collecteurs autorisés publient des observations signées et référencées.</w:t>
      </w:r>
    </w:p>
    <w:p>
      <w:pPr>
        <w:numPr>
          <w:ilvl w:val="0"/>
          <w:numId w:val="20"/>
        </w:numPr>
        <w:spacing w:after="80" w:line="283" w:lineRule="auto"/>
      </w:pPr>
      <w:r>
        <w:rPr>
          <w:rFonts w:ascii="Arial" w:hAnsi="Arial" w:eastAsia="Arial"/>
          <w:color w:val="162019"/>
          <w:sz w:val="20"/>
        </w:rPr>
        <w:t>Finalité : l’indexer attend les confirmations requises et suit les réorganisations.</w:t>
      </w:r>
    </w:p>
    <w:p>
      <w:pPr>
        <w:numPr>
          <w:ilvl w:val="0"/>
          <w:numId w:val="20"/>
        </w:numPr>
        <w:spacing w:after="80" w:line="283" w:lineRule="auto"/>
      </w:pPr>
      <w:r>
        <w:rPr>
          <w:rFonts w:ascii="Arial" w:hAnsi="Arial" w:eastAsia="Arial"/>
          <w:color w:val="162019"/>
          <w:sz w:val="20"/>
        </w:rPr>
        <w:t>Classification : le moteur applique la politique et produit résultat, exclusions et raisons.</w:t>
      </w:r>
    </w:p>
    <w:p>
      <w:pPr>
        <w:numPr>
          <w:ilvl w:val="0"/>
          <w:numId w:val="20"/>
        </w:numPr>
        <w:spacing w:after="80" w:line="283" w:lineRule="auto"/>
      </w:pPr>
      <w:r>
        <w:rPr>
          <w:rFonts w:ascii="Arial" w:hAnsi="Arial" w:eastAsia="Arial"/>
          <w:color w:val="162019"/>
          <w:sz w:val="20"/>
        </w:rPr>
        <w:t>Conséquence : la V1 enregistre uniquement une conséquence symbolique ou explicitement autorisée.</w:t>
      </w:r>
    </w:p>
    <w:p>
      <w:pPr>
        <w:numPr>
          <w:ilvl w:val="0"/>
          <w:numId w:val="20"/>
        </w:numPr>
        <w:spacing w:after="80" w:line="283" w:lineRule="auto"/>
      </w:pPr>
      <w:r>
        <w:rPr>
          <w:rFonts w:ascii="Arial" w:hAnsi="Arial" w:eastAsia="Arial"/>
          <w:color w:val="162019"/>
          <w:sz w:val="20"/>
        </w:rPr>
        <w:t>Clôture : le résultat terminal devient idempotent, exportable et non réinscriptible.</w:t>
      </w:r>
    </w:p>
    <w:p>
      <w:pPr>
        <w:pStyle w:val="Heading2"/>
      </w:pPr>
      <w:r>
        <w:t>États cibles</w:t>
      </w:r>
    </w:p>
    <w:tbl>
      <w:tblPr>
        <w:tblStyle w:val="TableGrid"/>
        <w:tblW w:type="dxa" w:w="9500"/>
        <w:jc w:val="left"/>
        <w:tblLayout w:type="fixed"/>
        <w:tblLook w:firstColumn="1" w:firstRow="1" w:lastColumn="0" w:lastRow="0" w:noHBand="0" w:noVBand="1" w:val="04A0"/>
        <w:tblInd w:w="120" w:type="dxa"/>
      </w:tblPr>
      <w:tblGrid>
        <w:gridCol w:w="1900"/>
        <w:gridCol w:w="3600"/>
        <w:gridCol w:w="40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Entrée</w:t>
            </w:r>
          </w:p>
        </w:tc>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Sortie autorisée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DRAFT</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Demande incomplète ou non signée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READY ou CANCELLED</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READY</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Validation de schéma réussie</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ACCEPTED ou CANCELLED</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ACCEPTED</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Signature fournisseur et snapshot</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OBSERVING</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OBSERVING</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Fenêtre ouverte</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FINALIZABLE ou EXCEPTION</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FINALIZABLE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Deadline et finalité atteintes</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CLASSIFIED</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CLASSIFIED</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 et raisons persistés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CLOSED ou CONTESTED</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CONTESTED</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contradictoires ou contestation recevable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CLOSED après revue bornée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CLOSED</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Dossier terminal scellé</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mutation ; nouvelle version séparée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CANCELLED</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Annulation avant acceptation</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Terminal</w:t>
            </w:r>
          </w:p>
        </w:tc>
      </w:tr>
    </w:tbl>
    <w:p>
      <w:pPr>
        <w:spacing w:after="40"/>
      </w:pPr>
    </w:p>
    <w:p>
      <w:pPr>
        <w:pStyle w:val="Heading2"/>
      </w:pPr>
      <w:r>
        <w:t>Taxonomie de résultat</w:t>
      </w:r>
    </w:p>
    <w:tbl>
      <w:tblPr>
        <w:tblStyle w:val="TableGrid"/>
        <w:tblW w:type="dxa" w:w="9500"/>
        <w:jc w:val="left"/>
        <w:tblLayout w:type="fixed"/>
        <w:tblLook w:firstColumn="1" w:firstRow="1" w:lastColumn="0" w:lastRow="0" w:noHBand="0" w:noVBand="1" w:val="04A0"/>
        <w:tblInd w:w="120" w:type="dxa"/>
      </w:tblPr>
      <w:tblGrid>
        <w:gridCol w:w="2300"/>
        <w:gridCol w:w="4000"/>
        <w:gridCol w:w="32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c>
          <w:tcPr>
            <w:tcW w:type="dxa" w:w="4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minimale</w:t>
            </w:r>
          </w:p>
        </w:tc>
        <w:tc>
          <w:tcPr>
            <w:tcW w:type="dxa" w:w="3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Conséquence V1</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SUCCESS</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Événement attendu canonique, conforme et final</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Clôture réussie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REQUESTER_FAULT</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Demande invalide, autorisation révoquée ou fonds absents</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faute fournisseur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PROVIDER_FAULT</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Obligation valide, quorum négatif et aucune exclusion</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Seulement si la preuve négative est complète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CHAIN_EXCEPTION</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Reorg, congestion ou condition de chaîne prévue</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Traitement d’exception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CONTESTED</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authentiques contradictoires</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Gel et revue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UNDETERMINED</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 insuffisante ou absence non démontrée</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pénalité ni remède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INVARIANT</w:t>
        <w:br/>
      </w:r>
      <w:r>
        <w:rPr>
          <w:rFonts w:ascii="Arial" w:hAnsi="Arial" w:eastAsia="Arial"/>
          <w:b w:val="0"/>
          <w:color w:val="162019"/>
          <w:sz w:val="20"/>
        </w:rPr>
        <w:t>Un timeout isolé ne constitue jamais une preuve de faute fournisseur.</w:t>
      </w:r>
    </w:p>
    <w:p>
      <w:pPr>
        <w:keepNext/>
        <w:spacing w:before="440" w:after="100"/>
      </w:pPr>
      <w:r>
        <w:rPr>
          <w:rFonts w:ascii="Arial" w:hAnsi="Arial" w:eastAsia="Arial"/>
          <w:b/>
          <w:color w:val="C6A15B"/>
          <w:sz w:val="16"/>
        </w:rPr>
        <w:t>CHAPITRE 04</w:t>
      </w:r>
    </w:p>
    <w:p>
      <w:pPr>
        <w:pStyle w:val="Heading1"/>
        <w:pageBreakBefore w:val="0"/>
      </w:pPr>
      <w:r>
        <w:t>Modèle de demande, politique et preuve</w:t>
      </w:r>
    </w:p>
    <w:p>
      <w:pPr>
        <w:pStyle w:val="Heading2"/>
      </w:pPr>
      <w:r>
        <w:t>Enveloppe d’engagement minimale</w:t>
      </w:r>
    </w:p>
    <w:tbl>
      <w:tblPr>
        <w:tblStyle w:val="TableGrid"/>
        <w:tblW w:type="dxa" w:w="9500"/>
        <w:jc w:val="left"/>
        <w:tblLayout w:type="fixed"/>
        <w:tblLook w:firstColumn="1" w:firstRow="1" w:lastColumn="0" w:lastRow="0" w:noHBand="0" w:noVBand="1" w:val="04A0"/>
        <w:tblInd w:w="120" w:type="dxa"/>
      </w:tblPr>
      <w:tblGrid>
        <w:gridCol w:w="1800"/>
        <w:gridCol w:w="4300"/>
        <w:gridCol w:w="34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Bloc</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Champs cibles</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Identité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requestId, requesterId, providerId</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nuls, uniques, rôles autorisés</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Réseau</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environment, chainId, targetContract</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Réseau allowlisté, adresse valide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Action</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functionSelector, calldataHash, expectedEvent</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Template et paramètres permis</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createdAt, acceptedAt, deadline, graceWindow</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Ordre cohérent et bornes maximales</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Finalité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confirmationPolicy, finalityThreshold</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 versionnée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Économie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asset, maximumExposure, sourceRegistry</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Optionnel en V1 ; jamais non borné</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policyId, policyVersion, exclusionSet</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 figée à l’acceptation</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collectorSet, trustDomains, evidenceSchema</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enregistrées uniquement</w:t>
            </w:r>
          </w:p>
        </w:tc>
      </w:tr>
    </w:tbl>
    <w:p>
      <w:pPr>
        <w:spacing w:after="40"/>
      </w:pPr>
    </w:p>
    <w:p>
      <w:pPr>
        <w:pStyle w:val="Heading2"/>
      </w:pPr>
      <w:r>
        <w:t>Snapshot d’acceptation</w:t>
      </w:r>
    </w:p>
    <w:p>
      <w:pPr>
        <w:spacing w:after="140" w:line="307" w:lineRule="auto"/>
      </w:pPr>
      <w:r>
        <w:rPr>
          <w:rFonts w:ascii="Arial" w:hAnsi="Arial" w:eastAsia="Arial"/>
          <w:i w:val="0"/>
          <w:color w:val="162019"/>
          <w:sz w:val="20"/>
        </w:rPr>
        <w:t>L’acceptation porte sur l’empreinte de l’enveloppe complète, pas sur quelques champs isolés. Toute modification postérieure d’un champ critique crée une nouvelle demande ou une nouvelle version explicitement reliée ; elle ne réécrit jamais l’engagement accepté.</w:t>
      </w:r>
    </w:p>
    <w:p>
      <w:pPr>
        <w:pStyle w:val="Heading2"/>
      </w:pPr>
      <w:r>
        <w:t>Politique versionnée</w:t>
      </w:r>
    </w:p>
    <w:p>
      <w:pPr>
        <w:numPr>
          <w:ilvl w:val="0"/>
          <w:numId w:val="21"/>
        </w:numPr>
        <w:spacing w:after="80" w:line="283" w:lineRule="auto"/>
      </w:pPr>
      <w:r>
        <w:rPr>
          <w:rFonts w:ascii="Arial" w:hAnsi="Arial" w:eastAsia="Arial"/>
          <w:color w:val="162019"/>
          <w:sz w:val="20"/>
        </w:rPr>
        <w:t>Décrit les événements attendus, les confirmations, les tolérances et les exclusions prioritaires.</w:t>
      </w:r>
    </w:p>
    <w:p>
      <w:pPr>
        <w:numPr>
          <w:ilvl w:val="0"/>
          <w:numId w:val="21"/>
        </w:numPr>
        <w:spacing w:after="80" w:line="283" w:lineRule="auto"/>
      </w:pPr>
      <w:r>
        <w:rPr>
          <w:rFonts w:ascii="Arial" w:hAnsi="Arial" w:eastAsia="Arial"/>
          <w:color w:val="162019"/>
          <w:sz w:val="20"/>
        </w:rPr>
        <w:t>Définit l’ordre de résolution entre succès, faute demandeur, exception chaîne et faute fournisseur.</w:t>
      </w:r>
    </w:p>
    <w:p>
      <w:pPr>
        <w:numPr>
          <w:ilvl w:val="0"/>
          <w:numId w:val="21"/>
        </w:numPr>
        <w:spacing w:after="80" w:line="283" w:lineRule="auto"/>
      </w:pPr>
      <w:r>
        <w:rPr>
          <w:rFonts w:ascii="Arial" w:hAnsi="Arial" w:eastAsia="Arial"/>
          <w:color w:val="162019"/>
          <w:sz w:val="20"/>
        </w:rPr>
        <w:t>Référence un schéma de preuve et un ensemble de collecteurs autorisés.</w:t>
      </w:r>
    </w:p>
    <w:p>
      <w:pPr>
        <w:numPr>
          <w:ilvl w:val="0"/>
          <w:numId w:val="21"/>
        </w:numPr>
        <w:spacing w:after="80" w:line="283" w:lineRule="auto"/>
      </w:pPr>
      <w:r>
        <w:rPr>
          <w:rFonts w:ascii="Arial" w:hAnsi="Arial" w:eastAsia="Arial"/>
          <w:color w:val="162019"/>
          <w:sz w:val="20"/>
        </w:rPr>
        <w:t>Produit une liste de raisons lisibles par machine et une explication humaine.</w:t>
      </w:r>
    </w:p>
    <w:p>
      <w:pPr>
        <w:numPr>
          <w:ilvl w:val="0"/>
          <w:numId w:val="21"/>
        </w:numPr>
        <w:spacing w:after="80" w:line="283" w:lineRule="auto"/>
      </w:pPr>
      <w:r>
        <w:rPr>
          <w:rFonts w:ascii="Arial" w:hAnsi="Arial" w:eastAsia="Arial"/>
          <w:color w:val="162019"/>
          <w:sz w:val="20"/>
        </w:rPr>
        <w:t>Ne peut pas être changée rétroactivement par l’opérateur ou la gouvernance.</w:t>
      </w:r>
    </w:p>
    <w:p>
      <w:pPr>
        <w:pStyle w:val="Heading2"/>
      </w:pPr>
      <w:r>
        <w:t>Preuve négative</w:t>
      </w:r>
    </w:p>
    <w:p>
      <w:pPr>
        <w:spacing w:after="140" w:line="307" w:lineRule="auto"/>
      </w:pPr>
      <w:r>
        <w:rPr>
          <w:rFonts w:ascii="Arial" w:hAnsi="Arial" w:eastAsia="Arial"/>
          <w:i w:val="0"/>
          <w:color w:val="162019"/>
          <w:sz w:val="20"/>
        </w:rPr>
        <w:t>Une faute fondée sur l’absence d’un événement exige davantage qu’une recherche infructueuse. La cible minimale combine au moins deux domaines de confiance distincts, des observations postérieures à l’échéance, un état canonique finalisé, une politique cohérente et l’absence d’exclusion prioritaire.</w:t>
      </w:r>
    </w:p>
    <w:tbl>
      <w:tblPr>
        <w:tblStyle w:val="TableGrid"/>
        <w:tblW w:type="dxa" w:w="9600"/>
        <w:jc w:val="left"/>
        <w:tblLayout w:type="fixed"/>
        <w:tblLook w:firstColumn="1" w:firstRow="1" w:lastColumn="0" w:lastRow="0" w:noHBand="0" w:noVBand="1" w:val="04A0"/>
        <w:tblInd w:w="120" w:type="dxa"/>
      </w:tblPr>
      <w:tblGrid>
        <w:gridCol w:w="2300"/>
        <w:gridCol w:w="4300"/>
        <w:gridCol w:w="30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Échec</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Diversité des sources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Même dépendance RPC ou même opérateur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UNDETERMINED</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Finalité</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Seuil non atteint ou reorg actif</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CHAIN_EXCEPTION ou attente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Fenêtre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Observation antérieure à la deadline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 irrecevable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Exclusions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Congestion ou révocation applicable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 de PROVIDER_FAULT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Cohérence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contradictoires au-delà de la tolérance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CONTESTED</w:t>
            </w:r>
          </w:p>
        </w:tc>
      </w:tr>
    </w:tbl>
    <w:p>
      <w:pPr>
        <w:spacing w:after="40"/>
      </w:pPr>
    </w:p>
    <w:p>
      <w:pPr>
        <w:keepNext/>
        <w:spacing w:before="440" w:after="100"/>
      </w:pPr>
      <w:r>
        <w:rPr>
          <w:rFonts w:ascii="Arial" w:hAnsi="Arial" w:eastAsia="Arial"/>
          <w:b/>
          <w:color w:val="C6A15B"/>
          <w:sz w:val="16"/>
        </w:rPr>
        <w:t>CHAPITRE 05</w:t>
      </w:r>
    </w:p>
    <w:p>
      <w:pPr>
        <w:pStyle w:val="Heading1"/>
        <w:pageBreakBefore w:val="0"/>
      </w:pPr>
      <w:r>
        <w:t>Exigences fonctionnelles et interfaces</w:t>
      </w:r>
    </w:p>
    <w:p>
      <w:pPr>
        <w:pStyle w:val="Heading2"/>
      </w:pPr>
      <w:r>
        <w:t>Exigences prioritaires</w:t>
      </w:r>
    </w:p>
    <w:tbl>
      <w:tblPr>
        <w:tblStyle w:val="TableGrid"/>
        <w:tblW w:type="dxa" w:w="9500"/>
        <w:jc w:val="left"/>
        <w:tblLayout w:type="fixed"/>
        <w:tblLook w:firstColumn="1" w:firstRow="1" w:lastColumn="0" w:lastRow="0" w:noHBand="0" w:noVBand="1" w:val="04A0"/>
        <w:tblInd w:w="120" w:type="dxa"/>
      </w:tblPr>
      <w:tblGrid>
        <w:gridCol w:w="1250"/>
        <w:gridCol w:w="3150"/>
        <w:gridCol w:w="3900"/>
        <w:gridCol w:w="1200"/>
      </w:tblGrid>
      <w:tr>
        <w:trPr>
          <w:tblHeader w:val="true"/>
          <w:cantSplit/>
        </w:trPr>
        <w:tc>
          <w:tcPr>
            <w:tcW w:type="dxa" w:w="12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31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c>
          <w:tcPr>
            <w:tcW w:type="dxa" w:w="3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Critère d’acceptation</w:t>
            </w:r>
          </w:p>
        </w:tc>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Priorité</w:t>
            </w:r>
          </w:p>
        </w:tc>
      </w:tr>
      <w:tr>
        <w:trPr>
          <w:cantSplit/>
        </w:trPr>
        <w:tc>
          <w:tcPr>
            <w:tcW w:type="dxa" w:w="12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ALP-F-001</w:t>
            </w:r>
          </w:p>
        </w:tc>
        <w:tc>
          <w:tcPr>
            <w:tcW w:type="dxa" w:w="3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Créer une demande depuis un template allowlisté</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Schéma strict ; rejet des champs inconnus critiques</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Must</w:t>
            </w:r>
          </w:p>
        </w:tc>
      </w:tr>
      <w:tr>
        <w:trPr>
          <w:cantSplit/>
        </w:trPr>
        <w:tc>
          <w:tcPr>
            <w:tcW w:type="dxa" w:w="12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ALP-F-002</w:t>
            </w:r>
          </w:p>
        </w:tc>
        <w:tc>
          <w:tcPr>
            <w:tcW w:type="dxa" w:w="3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Valider identités, réseau, action, fenêtre et bornes</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Aucune demande READY si un contrôle échoue</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Must</w:t>
            </w:r>
          </w:p>
        </w:tc>
      </w:tr>
      <w:tr>
        <w:trPr>
          <w:cantSplit/>
        </w:trPr>
        <w:tc>
          <w:tcPr>
            <w:tcW w:type="dxa" w:w="12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ALP-F-003</w:t>
            </w:r>
          </w:p>
        </w:tc>
        <w:tc>
          <w:tcPr>
            <w:tcW w:type="dxa" w:w="3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Accepter par signature du snapshot complet</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Empreinte et version reproductibles</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Must</w:t>
            </w:r>
          </w:p>
        </w:tc>
      </w:tr>
      <w:tr>
        <w:trPr>
          <w:cantSplit/>
        </w:trPr>
        <w:tc>
          <w:tcPr>
            <w:tcW w:type="dxa" w:w="12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ALP-F-004</w:t>
            </w:r>
          </w:p>
        </w:tc>
        <w:tc>
          <w:tcPr>
            <w:tcW w:type="dxa" w:w="3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Ingest des observations authentifiées</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Source, signature, nonce et horodatage vérifiés</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Must</w:t>
            </w:r>
          </w:p>
        </w:tc>
      </w:tr>
      <w:tr>
        <w:trPr>
          <w:cantSplit/>
        </w:trPr>
        <w:tc>
          <w:tcPr>
            <w:tcW w:type="dxa" w:w="12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ALP-F-005</w:t>
            </w:r>
          </w:p>
        </w:tc>
        <w:tc>
          <w:tcPr>
            <w:tcW w:type="dxa" w:w="3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Suivre état canonique et reorg</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Rollback idempotent jusqu’au seuil de finalité</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Must</w:t>
            </w:r>
          </w:p>
        </w:tc>
      </w:tr>
      <w:tr>
        <w:trPr>
          <w:cantSplit/>
        </w:trPr>
        <w:tc>
          <w:tcPr>
            <w:tcW w:type="dxa" w:w="12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ALP-F-006</w:t>
            </w:r>
          </w:p>
        </w:tc>
        <w:tc>
          <w:tcPr>
            <w:tcW w:type="dxa" w:w="3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Classifier selon politique figée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Même entrée = même résultat et mêmes raisons</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Must</w:t>
            </w:r>
          </w:p>
        </w:tc>
      </w:tr>
      <w:tr>
        <w:trPr>
          <w:cantSplit/>
        </w:trPr>
        <w:tc>
          <w:tcPr>
            <w:tcW w:type="dxa" w:w="12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ALP-F-007</w:t>
            </w:r>
          </w:p>
        </w:tc>
        <w:tc>
          <w:tcPr>
            <w:tcW w:type="dxa" w:w="3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Refuser la faute sur timeout isolé</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Scénarios négatifs couverts</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Must</w:t>
            </w:r>
          </w:p>
        </w:tc>
      </w:tr>
      <w:tr>
        <w:trPr>
          <w:cantSplit/>
        </w:trPr>
        <w:tc>
          <w:tcPr>
            <w:tcW w:type="dxa" w:w="12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ALP-F-008</w:t>
            </w:r>
          </w:p>
        </w:tc>
        <w:tc>
          <w:tcPr>
            <w:tcW w:type="dxa" w:w="3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Exporter le dossier de preuve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JSON versionné + résumé humain</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Must</w:t>
            </w:r>
          </w:p>
        </w:tc>
      </w:tr>
      <w:tr>
        <w:trPr>
          <w:cantSplit/>
        </w:trPr>
        <w:tc>
          <w:tcPr>
            <w:tcW w:type="dxa" w:w="12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ALP-F-009</w:t>
            </w:r>
          </w:p>
        </w:tc>
        <w:tc>
          <w:tcPr>
            <w:tcW w:type="dxa" w:w="3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Notifier les transitions et incidents</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Webhook signé, rejouable et idempotent</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Should</w:t>
            </w:r>
          </w:p>
        </w:tc>
      </w:tr>
      <w:tr>
        <w:trPr>
          <w:cantSplit/>
        </w:trPr>
        <w:tc>
          <w:tcPr>
            <w:tcW w:type="dxa" w:w="12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ALP-F-010</w:t>
            </w:r>
          </w:p>
        </w:tc>
        <w:tc>
          <w:tcPr>
            <w:tcW w:type="dxa" w:w="3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Gérer une contestation bornée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Gel, motif, pièces et décision tracés</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Should</w:t>
            </w:r>
          </w:p>
        </w:tc>
      </w:tr>
    </w:tbl>
    <w:p>
      <w:pPr>
        <w:spacing w:after="40"/>
      </w:pPr>
    </w:p>
    <w:p>
      <w:pPr>
        <w:pStyle w:val="Heading2"/>
      </w:pPr>
      <w:r>
        <w:t>Surface API cible</w:t>
      </w:r>
    </w:p>
    <w:tbl>
      <w:tblPr>
        <w:tblStyle w:val="TableGrid"/>
        <w:tblW w:type="dxa" w:w="9500"/>
        <w:jc w:val="left"/>
        <w:tblLayout w:type="fixed"/>
        <w:tblLook w:firstColumn="1" w:firstRow="1" w:lastColumn="0" w:lastRow="0" w:noHBand="0" w:noVBand="1" w:val="04A0"/>
        <w:tblInd w:w="120" w:type="dxa"/>
      </w:tblPr>
      <w:tblGrid>
        <w:gridCol w:w="2900"/>
        <w:gridCol w:w="3300"/>
        <w:gridCol w:w="3300"/>
      </w:tblGrid>
      <w:tr>
        <w:trPr>
          <w:tblHeader w:val="true"/>
          <w:cantSplit/>
        </w:trPr>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Opération</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But</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Garantie</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POST /requests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Créer une demande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Idempotency-Key obligatoire</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POST /requests/{id}/validate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Exécuter les contrôles préalables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mutation cachée</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POST /requests/{id}/accept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Signer le snapshot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Signature et nonce vérifiés</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POST /evidence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Soumettre une observation</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 enregistré uniquement</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POST /requests/{id}/classify</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Calculer ou recalculer le résultat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 et données versionnées</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GET /requests/{id}</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Lire état et raisons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Vue cohérente avec l’audit trail</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GET /requests/{id}/evidence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Exporter le dossier</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Références stables et intégrité vérifiable</w:t>
            </w:r>
          </w:p>
        </w:tc>
      </w:tr>
    </w:tbl>
    <w:p>
      <w:pPr>
        <w:spacing w:after="40"/>
      </w:pPr>
    </w:p>
    <w:p>
      <w:pPr>
        <w:pStyle w:val="Heading2"/>
      </w:pPr>
      <w:r>
        <w:t>Erreurs et idempotence</w:t>
      </w:r>
    </w:p>
    <w:p>
      <w:pPr>
        <w:numPr>
          <w:ilvl w:val="0"/>
          <w:numId w:val="22"/>
        </w:numPr>
        <w:spacing w:after="80" w:line="283" w:lineRule="auto"/>
      </w:pPr>
      <w:r>
        <w:rPr>
          <w:rFonts w:ascii="Arial" w:hAnsi="Arial" w:eastAsia="Arial"/>
          <w:color w:val="162019"/>
          <w:sz w:val="20"/>
        </w:rPr>
        <w:t>Les erreurs de validation sont structurées par champ, règle, version et remédiation possible.</w:t>
      </w:r>
    </w:p>
    <w:p>
      <w:pPr>
        <w:numPr>
          <w:ilvl w:val="0"/>
          <w:numId w:val="22"/>
        </w:numPr>
        <w:spacing w:after="80" w:line="283" w:lineRule="auto"/>
      </w:pPr>
      <w:r>
        <w:rPr>
          <w:rFonts w:ascii="Arial" w:hAnsi="Arial" w:eastAsia="Arial"/>
          <w:color w:val="162019"/>
          <w:sz w:val="20"/>
        </w:rPr>
        <w:t>Toute écriture externe exige une clé d’idempotence et refuse les doublons divergents.</w:t>
      </w:r>
    </w:p>
    <w:p>
      <w:pPr>
        <w:numPr>
          <w:ilvl w:val="0"/>
          <w:numId w:val="22"/>
        </w:numPr>
        <w:spacing w:after="80" w:line="283" w:lineRule="auto"/>
      </w:pPr>
      <w:r>
        <w:rPr>
          <w:rFonts w:ascii="Arial" w:hAnsi="Arial" w:eastAsia="Arial"/>
          <w:color w:val="162019"/>
          <w:sz w:val="20"/>
        </w:rPr>
        <w:t>Les webhooks sont signés, numérotés, rejouables et acquittables.</w:t>
      </w:r>
    </w:p>
    <w:p>
      <w:pPr>
        <w:numPr>
          <w:ilvl w:val="0"/>
          <w:numId w:val="22"/>
        </w:numPr>
        <w:spacing w:after="80" w:line="283" w:lineRule="auto"/>
      </w:pPr>
      <w:r>
        <w:rPr>
          <w:rFonts w:ascii="Arial" w:hAnsi="Arial" w:eastAsia="Arial"/>
          <w:color w:val="162019"/>
          <w:sz w:val="20"/>
        </w:rPr>
        <w:t>Une reprise après panne ne doit ni dupliquer une demande, ni doubler une conséquence.</w:t>
      </w:r>
    </w:p>
    <w:p>
      <w:pPr>
        <w:numPr>
          <w:ilvl w:val="0"/>
          <w:numId w:val="22"/>
        </w:numPr>
        <w:spacing w:after="80" w:line="283" w:lineRule="auto"/>
      </w:pPr>
      <w:r>
        <w:rPr>
          <w:rFonts w:ascii="Arial" w:hAnsi="Arial" w:eastAsia="Arial"/>
          <w:color w:val="162019"/>
          <w:sz w:val="20"/>
        </w:rPr>
        <w:t>Les horloges serveur ne remplacent jamais les timestamps et blocs canoniques nécessaires à la preuve.</w:t>
      </w:r>
    </w:p>
    <w:p>
      <w:pPr>
        <w:keepNext/>
        <w:spacing w:before="440" w:after="100"/>
      </w:pPr>
      <w:r>
        <w:rPr>
          <w:rFonts w:ascii="Arial" w:hAnsi="Arial" w:eastAsia="Arial"/>
          <w:b/>
          <w:color w:val="C6A15B"/>
          <w:sz w:val="16"/>
        </w:rPr>
        <w:t>CHAPITRE 06</w:t>
      </w:r>
    </w:p>
    <w:p>
      <w:pPr>
        <w:pStyle w:val="Heading1"/>
        <w:pageBreakBefore w:val="0"/>
      </w:pPr>
      <w:r>
        <w:t>Données, sécurité et opérations</w:t>
      </w:r>
    </w:p>
    <w:p>
      <w:pPr>
        <w:pStyle w:val="Heading2"/>
      </w:pPr>
      <w:r>
        <w:t>Partition on-chain / off-chain</w:t>
      </w:r>
    </w:p>
    <w:tbl>
      <w:tblPr>
        <w:tblStyle w:val="TableGrid"/>
        <w:tblW w:type="dxa" w:w="9500"/>
        <w:jc w:val="left"/>
        <w:tblLayout w:type="fixed"/>
        <w:tblLook w:firstColumn="1" w:firstRow="1" w:lastColumn="0" w:lastRow="0" w:noHBand="0" w:noVBand="1" w:val="04A0"/>
        <w:tblInd w:w="120" w:type="dxa"/>
      </w:tblPr>
      <w:tblGrid>
        <w:gridCol w:w="3000"/>
        <w:gridCol w:w="3000"/>
        <w:gridCol w:w="3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On-chain ou ancré</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Off-chain</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Justification</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Identifiants, empreintes, versions, timestamps et caps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 brutes, documents, logs détaillés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Coût, confidentialité, minimisation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canonique des engagements autorisés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Authentification, collecte, stockage et reprise</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Séparer déterminisme et opérations</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Événements de transition nécessaires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Monitoring, alertes, enquêtes et support</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chaîne ne remplace pas un socle SRE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Conséquences explicitement préfinancées si autorisées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Contrats, facturation, KYC/AML et recours</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Obligations juridiques hors chaîne</w:t>
            </w:r>
          </w:p>
        </w:tc>
      </w:tr>
    </w:tbl>
    <w:p>
      <w:pPr>
        <w:spacing w:after="40"/>
      </w:pPr>
    </w:p>
    <w:p>
      <w:pPr>
        <w:pStyle w:val="Heading2"/>
      </w:pPr>
      <w:r>
        <w:t>Persistance cible</w:t>
      </w:r>
    </w:p>
    <w:p>
      <w:pPr>
        <w:spacing w:after="140" w:line="307" w:lineRule="auto"/>
      </w:pPr>
      <w:r>
        <w:rPr>
          <w:rFonts w:ascii="Arial" w:hAnsi="Arial" w:eastAsia="Arial"/>
          <w:i w:val="0"/>
          <w:color w:val="162019"/>
          <w:sz w:val="20"/>
        </w:rPr>
        <w:t>L’état ALPHA actuellement décrit comme local ou en mémoire n’est pas une base de production. La cible exige une base transactionnelle, des contraintes d’unicité, un journal append-only, une outbox pour événements, des migrations versionnées, une politique de rétention et une procédure de restauration testée.</w:t>
      </w:r>
    </w:p>
    <w:p>
      <w:pPr>
        <w:pStyle w:val="Heading2"/>
      </w:pPr>
      <w:r>
        <w:t>Menaces prioritaires</w:t>
      </w:r>
    </w:p>
    <w:tbl>
      <w:tblPr>
        <w:tblStyle w:val="TableGrid"/>
        <w:tblW w:type="dxa" w:w="9500"/>
        <w:jc w:val="left"/>
        <w:tblLayout w:type="fixed"/>
        <w:tblLook w:firstColumn="1" w:firstRow="1" w:lastColumn="0" w:lastRow="0" w:noHBand="0" w:noVBand="1" w:val="04A0"/>
        <w:tblInd w:w="120" w:type="dxa"/>
      </w:tblPr>
      <w:tblGrid>
        <w:gridCol w:w="2500"/>
        <w:gridCol w:w="2700"/>
        <w:gridCol w:w="43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Menace</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Contrôles requis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 compromis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Fausse preuve ou censure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Signatures, quotas, révocation et diversité</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RPC malveillant / reorg</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canonique erroné</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RPC indépendants, confirmations et rollback</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Rejeu / collision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Double demande ou conséquence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Domain separation, nonce, chainId et idempotence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Clé opérateur compromise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Mutation ou configuration abusive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Moindre privilège, multisig, rotation et timelock</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Erreur de politique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Fausse classification</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Versionnage, revue, fixtures et tests différentiels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Fuite de données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Vie privée ou secret industriel</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Minimisation, chiffrement, accès et rétention</w:t>
            </w:r>
          </w:p>
        </w:tc>
      </w:tr>
    </w:tbl>
    <w:p>
      <w:pPr>
        <w:spacing w:after="40"/>
      </w:pPr>
    </w:p>
    <w:p>
      <w:pPr>
        <w:pStyle w:val="Heading2"/>
      </w:pPr>
      <w:r>
        <w:t>Exigences opérationnelles</w:t>
      </w:r>
    </w:p>
    <w:p>
      <w:pPr>
        <w:numPr>
          <w:ilvl w:val="0"/>
          <w:numId w:val="23"/>
        </w:numPr>
        <w:spacing w:after="80" w:line="283" w:lineRule="auto"/>
      </w:pPr>
      <w:r>
        <w:rPr>
          <w:rFonts w:ascii="Arial" w:hAnsi="Arial" w:eastAsia="Arial"/>
          <w:color w:val="162019"/>
          <w:sz w:val="20"/>
        </w:rPr>
        <w:t>Métriques de débit, latence, backlog, erreurs, reorgs, divergences RPC et classifications.</w:t>
      </w:r>
    </w:p>
    <w:p>
      <w:pPr>
        <w:numPr>
          <w:ilvl w:val="0"/>
          <w:numId w:val="23"/>
        </w:numPr>
        <w:spacing w:after="80" w:line="283" w:lineRule="auto"/>
      </w:pPr>
      <w:r>
        <w:rPr>
          <w:rFonts w:ascii="Arial" w:hAnsi="Arial" w:eastAsia="Arial"/>
          <w:color w:val="162019"/>
          <w:sz w:val="20"/>
        </w:rPr>
        <w:t>Alertes actionnables avec propriétaire, sévérité, délai d’acquittement et runbook.</w:t>
      </w:r>
    </w:p>
    <w:p>
      <w:pPr>
        <w:numPr>
          <w:ilvl w:val="0"/>
          <w:numId w:val="23"/>
        </w:numPr>
        <w:spacing w:after="80" w:line="283" w:lineRule="auto"/>
      </w:pPr>
      <w:r>
        <w:rPr>
          <w:rFonts w:ascii="Arial" w:hAnsi="Arial" w:eastAsia="Arial"/>
          <w:color w:val="162019"/>
          <w:sz w:val="20"/>
        </w:rPr>
        <w:t>Sauvegarde, restauration, reprise après incident et rollback testés hors production.</w:t>
      </w:r>
    </w:p>
    <w:p>
      <w:pPr>
        <w:numPr>
          <w:ilvl w:val="0"/>
          <w:numId w:val="23"/>
        </w:numPr>
        <w:spacing w:after="80" w:line="283" w:lineRule="auto"/>
      </w:pPr>
      <w:r>
        <w:rPr>
          <w:rFonts w:ascii="Arial" w:hAnsi="Arial" w:eastAsia="Arial"/>
          <w:color w:val="162019"/>
          <w:sz w:val="20"/>
        </w:rPr>
        <w:t>Inventaire des secrets et rôles, rotation périodique et rotation d’urgence.</w:t>
      </w:r>
    </w:p>
    <w:p>
      <w:pPr>
        <w:numPr>
          <w:ilvl w:val="0"/>
          <w:numId w:val="23"/>
        </w:numPr>
        <w:spacing w:after="80" w:line="283" w:lineRule="auto"/>
      </w:pPr>
      <w:r>
        <w:rPr>
          <w:rFonts w:ascii="Arial" w:hAnsi="Arial" w:eastAsia="Arial"/>
          <w:color w:val="162019"/>
          <w:sz w:val="20"/>
        </w:rPr>
        <w:t>Journal d’incident reliant détection, impact, décision, correction et retest.</w:t>
      </w:r>
    </w:p>
    <w:p>
      <w:pPr>
        <w:keepNext/>
        <w:spacing w:before="440" w:after="100"/>
      </w:pPr>
      <w:r>
        <w:rPr>
          <w:rFonts w:ascii="Arial" w:hAnsi="Arial" w:eastAsia="Arial"/>
          <w:b/>
          <w:color w:val="C6A15B"/>
          <w:sz w:val="16"/>
        </w:rPr>
        <w:t>CHAPITRE 07</w:t>
      </w:r>
    </w:p>
    <w:p>
      <w:pPr>
        <w:pStyle w:val="Heading1"/>
        <w:pageBreakBefore w:val="0"/>
      </w:pPr>
      <w:r>
        <w:t>Validation, tests et critères de sortie</w:t>
      </w:r>
    </w:p>
    <w:p>
      <w:pPr>
        <w:pStyle w:val="Heading2"/>
      </w:pPr>
      <w:r>
        <w:t>Stratégie de test</w:t>
      </w:r>
    </w:p>
    <w:tbl>
      <w:tblPr>
        <w:tblStyle w:val="TableGrid"/>
        <w:tblW w:type="dxa" w:w="9500"/>
        <w:jc w:val="left"/>
        <w:tblLayout w:type="fixed"/>
        <w:tblLook w:firstColumn="1" w:firstRow="1" w:lastColumn="0" w:lastRow="0" w:noHBand="0" w:noVBand="1" w:val="04A0"/>
        <w:tblInd w:w="120" w:type="dxa"/>
      </w:tblPr>
      <w:tblGrid>
        <w:gridCol w:w="1800"/>
        <w:gridCol w:w="3600"/>
        <w:gridCol w:w="41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Objet</w:t>
            </w:r>
          </w:p>
        </w:tc>
        <w:tc>
          <w:tcPr>
            <w:tcW w:type="dxa" w:w="4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attendue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Unitaire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Schémas, politiques, transitions et raisons</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Résultats déterministes et couverture reliée au commit</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Propriétés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Idempotence, conservation et immutabilité</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Invariants et fuzzing reproductibles</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Intégration</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API, persistance, indexer et webhooks</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Fixtures versionnées et journaux</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Adversarial</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Rejeu, collusion, reorg, timeout et sources contradictoires</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Scénarios négatifs et absence de faux positif</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E2E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Cycle complet du template pilote</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Dossier de preuve exportable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Reprise</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Crash, redémarrage, backlog et rollback</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duplication ou perte silencieuse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Sécurité</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Dépendances, secrets, code et permissions</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SBOM, scans et constats suivis</w:t>
            </w:r>
          </w:p>
        </w:tc>
      </w:tr>
    </w:tbl>
    <w:p>
      <w:pPr>
        <w:spacing w:after="40"/>
      </w:pPr>
    </w:p>
    <w:p>
      <w:pPr>
        <w:pStyle w:val="Heading2"/>
      </w:pPr>
      <w:r>
        <w:t>Gates avant pilote externe</w:t>
      </w:r>
    </w:p>
    <w:tbl>
      <w:tblPr>
        <w:tblStyle w:val="TableGrid"/>
        <w:tblW w:type="dxa" w:w="9500"/>
        <w:jc w:val="left"/>
        <w:tblLayout w:type="fixed"/>
        <w:tblLook w:firstColumn="1" w:firstRow="1" w:lastColumn="0" w:lastRow="0" w:noHBand="0" w:noVBand="1" w:val="04A0"/>
        <w:tblInd w:w="120" w:type="dxa"/>
      </w:tblPr>
      <w:tblGrid>
        <w:gridCol w:w="2000"/>
        <w:gridCol w:w="5600"/>
        <w:gridCol w:w="1900"/>
      </w:tblGrid>
      <w:tr>
        <w:trPr>
          <w:tblHeader w:val="true"/>
          <w:cantSplit/>
        </w:trPr>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c>
          <w:tcPr>
            <w:tcW w:type="dxa" w:w="56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de passage</w:t>
            </w:r>
          </w:p>
        </w:tc>
        <w:tc>
          <w:tcPr>
            <w:tcW w:type="dxa" w:w="1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Bloquant si absent</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G0 — Spec</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Template, politique, états et critères approuvés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G1 — Preuves</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 build, résultats bruts et registre testnet annexés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G2 — Persistance</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Transactions, idempotence, reprise et restauration démontrées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G3 — Sécurité</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Threat model, secrets, rôles et scénarios adversariaux revus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G4 — Exploitation</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Monitoring, alertes, runbooks et rollback testés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G5 — Pilote</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Workflow réel, décideur, budget et succès écrits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STATUT ACTUEL</w:t>
        <w:br/>
      </w:r>
      <w:r>
        <w:rPr>
          <w:rFonts w:ascii="Arial" w:hAnsi="Arial" w:eastAsia="Arial"/>
          <w:b w:val="0"/>
          <w:color w:val="162019"/>
          <w:sz w:val="20"/>
        </w:rPr>
        <w:t>La Phase 3B est un PASS interne documenté. Les PASS Phase 3.E Human Pilot et Release Candidate restent déclaratifs tant que leurs rapports, scénarios, artefacts et visas ne sont pas annexés. Aucun de ces jalons ne prouve un pilote client externe.</w:t>
      </w:r>
    </w:p>
    <w:p>
      <w:pPr>
        <w:pStyle w:val="Heading2"/>
      </w:pPr>
      <w:r>
        <w:t>Critères Release Candidate ALPHA</w:t>
      </w:r>
    </w:p>
    <w:p>
      <w:pPr>
        <w:numPr>
          <w:ilvl w:val="0"/>
          <w:numId w:val="24"/>
        </w:numPr>
        <w:spacing w:after="80" w:line="283" w:lineRule="auto"/>
      </w:pPr>
      <w:r>
        <w:rPr>
          <w:rFonts w:ascii="Arial" w:hAnsi="Arial" w:eastAsia="Arial"/>
          <w:color w:val="162019"/>
          <w:sz w:val="20"/>
        </w:rPr>
        <w:t>Zéro Critical ou High non accepté dans la portée auditée.</w:t>
      </w:r>
    </w:p>
    <w:p>
      <w:pPr>
        <w:numPr>
          <w:ilvl w:val="0"/>
          <w:numId w:val="24"/>
        </w:numPr>
        <w:spacing w:after="80" w:line="283" w:lineRule="auto"/>
      </w:pPr>
      <w:r>
        <w:rPr>
          <w:rFonts w:ascii="Arial" w:hAnsi="Arial" w:eastAsia="Arial"/>
          <w:color w:val="162019"/>
          <w:sz w:val="20"/>
        </w:rPr>
        <w:t>Aucun faux PROVIDER_FAULT dans le corpus adversarial approuvé.</w:t>
      </w:r>
    </w:p>
    <w:p>
      <w:pPr>
        <w:numPr>
          <w:ilvl w:val="0"/>
          <w:numId w:val="24"/>
        </w:numPr>
        <w:spacing w:after="80" w:line="283" w:lineRule="auto"/>
      </w:pPr>
      <w:r>
        <w:rPr>
          <w:rFonts w:ascii="Arial" w:hAnsi="Arial" w:eastAsia="Arial"/>
          <w:color w:val="162019"/>
          <w:sz w:val="20"/>
        </w:rPr>
        <w:t>Reproduction du build et des tests depuis un commit immuable.</w:t>
      </w:r>
    </w:p>
    <w:p>
      <w:pPr>
        <w:numPr>
          <w:ilvl w:val="0"/>
          <w:numId w:val="24"/>
        </w:numPr>
        <w:spacing w:after="80" w:line="283" w:lineRule="auto"/>
      </w:pPr>
      <w:r>
        <w:rPr>
          <w:rFonts w:ascii="Arial" w:hAnsi="Arial" w:eastAsia="Arial"/>
          <w:color w:val="162019"/>
          <w:sz w:val="20"/>
        </w:rPr>
        <w:t>Persistance et reprise démontrées sur un cycle complet.</w:t>
      </w:r>
    </w:p>
    <w:p>
      <w:pPr>
        <w:numPr>
          <w:ilvl w:val="0"/>
          <w:numId w:val="24"/>
        </w:numPr>
        <w:spacing w:after="80" w:line="283" w:lineRule="auto"/>
      </w:pPr>
      <w:r>
        <w:rPr>
          <w:rFonts w:ascii="Arial" w:hAnsi="Arial" w:eastAsia="Arial"/>
          <w:color w:val="162019"/>
          <w:sz w:val="20"/>
        </w:rPr>
        <w:t>Registre Base Sepolia complet : adresses, transactions, bytecodes, rôles et paramètres.</w:t>
      </w:r>
    </w:p>
    <w:p>
      <w:pPr>
        <w:numPr>
          <w:ilvl w:val="0"/>
          <w:numId w:val="24"/>
        </w:numPr>
        <w:spacing w:after="80" w:line="283" w:lineRule="auto"/>
      </w:pPr>
      <w:r>
        <w:rPr>
          <w:rFonts w:ascii="Arial" w:hAnsi="Arial" w:eastAsia="Arial"/>
          <w:color w:val="162019"/>
          <w:sz w:val="20"/>
        </w:rPr>
        <w:t>Procédure opérateur exécutable par une autre personne que l’auteur initial.</w:t>
      </w:r>
    </w:p>
    <w:p>
      <w:pPr>
        <w:keepNext/>
        <w:spacing w:before="440" w:after="100"/>
      </w:pPr>
      <w:r>
        <w:rPr>
          <w:rFonts w:ascii="Arial" w:hAnsi="Arial" w:eastAsia="Arial"/>
          <w:b/>
          <w:color w:val="C6A15B"/>
          <w:sz w:val="16"/>
        </w:rPr>
        <w:t>CHAPITRE 08</w:t>
      </w:r>
    </w:p>
    <w:p>
      <w:pPr>
        <w:pStyle w:val="Heading1"/>
        <w:pageBreakBefore w:val="0"/>
      </w:pPr>
      <w:r>
        <w:t>Protocole pilote et métriques produit</w:t>
      </w:r>
    </w:p>
    <w:p>
      <w:pPr>
        <w:pStyle w:val="Heading2"/>
      </w:pPr>
      <w:r>
        <w:t>Séquence de discovery</w:t>
      </w:r>
    </w:p>
    <w:p>
      <w:pPr>
        <w:numPr>
          <w:ilvl w:val="0"/>
          <w:numId w:val="25"/>
        </w:numPr>
        <w:spacing w:after="80" w:line="283" w:lineRule="auto"/>
      </w:pPr>
      <w:r>
        <w:rPr>
          <w:rFonts w:ascii="Arial" w:hAnsi="Arial" w:eastAsia="Arial"/>
          <w:color w:val="162019"/>
          <w:sz w:val="20"/>
        </w:rPr>
        <w:t>Interviewer 15 à 20 opérateurs et décideurs correspondant au profil initial.</w:t>
      </w:r>
    </w:p>
    <w:p>
      <w:pPr>
        <w:numPr>
          <w:ilvl w:val="0"/>
          <w:numId w:val="25"/>
        </w:numPr>
        <w:spacing w:after="80" w:line="283" w:lineRule="auto"/>
      </w:pPr>
      <w:r>
        <w:rPr>
          <w:rFonts w:ascii="Arial" w:hAnsi="Arial" w:eastAsia="Arial"/>
          <w:color w:val="162019"/>
          <w:sz w:val="20"/>
        </w:rPr>
        <w:t>Observer au moins cinq workflows réels sans présenter ALPHA comme solution acquise.</w:t>
      </w:r>
    </w:p>
    <w:p>
      <w:pPr>
        <w:numPr>
          <w:ilvl w:val="0"/>
          <w:numId w:val="25"/>
        </w:numPr>
        <w:spacing w:after="80" w:line="283" w:lineRule="auto"/>
      </w:pPr>
      <w:r>
        <w:rPr>
          <w:rFonts w:ascii="Arial" w:hAnsi="Arial" w:eastAsia="Arial"/>
          <w:color w:val="162019"/>
          <w:sz w:val="20"/>
        </w:rPr>
        <w:t>Mesurer fréquence, coût actuel, perte potentielle, délais, outils et budget.</w:t>
      </w:r>
    </w:p>
    <w:p>
      <w:pPr>
        <w:numPr>
          <w:ilvl w:val="0"/>
          <w:numId w:val="25"/>
        </w:numPr>
        <w:spacing w:after="80" w:line="283" w:lineRule="auto"/>
      </w:pPr>
      <w:r>
        <w:rPr>
          <w:rFonts w:ascii="Arial" w:hAnsi="Arial" w:eastAsia="Arial"/>
          <w:color w:val="162019"/>
          <w:sz w:val="20"/>
        </w:rPr>
        <w:t>Choisir un seul workflow et exécuter d’abord un service manuel tokenless.</w:t>
      </w:r>
    </w:p>
    <w:p>
      <w:pPr>
        <w:numPr>
          <w:ilvl w:val="0"/>
          <w:numId w:val="25"/>
        </w:numPr>
        <w:spacing w:after="80" w:line="283" w:lineRule="auto"/>
      </w:pPr>
      <w:r>
        <w:rPr>
          <w:rFonts w:ascii="Arial" w:hAnsi="Arial" w:eastAsia="Arial"/>
          <w:color w:val="162019"/>
          <w:sz w:val="20"/>
        </w:rPr>
        <w:t>Comparer le résultat à la meilleure alternative Web2 ou Web3 disponible.</w:t>
      </w:r>
    </w:p>
    <w:p>
      <w:pPr>
        <w:numPr>
          <w:ilvl w:val="0"/>
          <w:numId w:val="25"/>
        </w:numPr>
        <w:spacing w:after="80" w:line="283" w:lineRule="auto"/>
      </w:pPr>
      <w:r>
        <w:rPr>
          <w:rFonts w:ascii="Arial" w:hAnsi="Arial" w:eastAsia="Arial"/>
          <w:color w:val="162019"/>
          <w:sz w:val="20"/>
        </w:rPr>
        <w:t>Signer deux à trois pilotes bornés avec critères de succès et d’arrêt écrits.</w:t>
      </w:r>
    </w:p>
    <w:p>
      <w:pPr>
        <w:numPr>
          <w:ilvl w:val="0"/>
          <w:numId w:val="25"/>
        </w:numPr>
        <w:spacing w:after="80" w:line="283" w:lineRule="auto"/>
      </w:pPr>
      <w:r>
        <w:rPr>
          <w:rFonts w:ascii="Arial" w:hAnsi="Arial" w:eastAsia="Arial"/>
          <w:color w:val="162019"/>
          <w:sz w:val="20"/>
        </w:rPr>
        <w:t>Automatiser uniquement les étapes répétées et démontrées.</w:t>
      </w:r>
    </w:p>
    <w:p>
      <w:pPr>
        <w:pStyle w:val="Heading2"/>
      </w:pPr>
      <w:r>
        <w:t>Contrat de pilote minimal</w:t>
      </w:r>
    </w:p>
    <w:tbl>
      <w:tblPr>
        <w:tblStyle w:val="TableGrid"/>
        <w:tblW w:type="dxa" w:w="9500"/>
        <w:jc w:val="left"/>
        <w:tblLayout w:type="fixed"/>
        <w:tblLook w:firstColumn="1" w:firstRow="1" w:lastColumn="0" w:lastRow="0" w:noHBand="0" w:noVBand="1" w:val="04A0"/>
        <w:tblInd w:w="120" w:type="dxa"/>
      </w:tblPr>
      <w:tblGrid>
        <w:gridCol w:w="2200"/>
        <w:gridCol w:w="7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Bloc</w:t>
            </w:r>
          </w:p>
        </w:tc>
        <w:tc>
          <w:tcPr>
            <w:tcW w:type="dxa" w:w="7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Contenu requis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Problème</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Workflow actuel, fréquence, coût, risque et incidents passés</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Périmètre</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 template, une chaîne, un contrat cible et une fenêtre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Données</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Sources autorisées, responsabilités, minimisation et rétention</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Succès</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Seuils mesurables définis avant démarrage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Arrêt</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Faux positif, indisponibilité, non-conformité ou absence de valeur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Économie</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Prix ou budget discuté ; aucun token requis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Responsabilité</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Plafonds, exclusions, recours et validation juridique</w:t>
            </w:r>
          </w:p>
        </w:tc>
      </w:tr>
    </w:tbl>
    <w:p>
      <w:pPr>
        <w:spacing w:after="40"/>
      </w:pPr>
    </w:p>
    <w:p>
      <w:pPr>
        <w:pStyle w:val="Heading2"/>
      </w:pPr>
      <w:r>
        <w:t>Métriques de vérité</w:t>
      </w:r>
    </w:p>
    <w:tbl>
      <w:tblPr>
        <w:tblStyle w:val="TableGrid"/>
        <w:tblW w:type="dxa" w:w="9500"/>
        <w:jc w:val="left"/>
        <w:tblLayout w:type="fixed"/>
        <w:tblLook w:firstColumn="1" w:firstRow="1" w:lastColumn="0" w:lastRow="0" w:noHBand="0" w:noVBand="1" w:val="04A0"/>
        <w:tblInd w:w="120" w:type="dxa"/>
      </w:tblPr>
      <w:tblGrid>
        <w:gridCol w:w="2200"/>
        <w:gridCol w:w="4000"/>
        <w:gridCol w:w="3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Métrique</w:t>
            </w:r>
          </w:p>
        </w:tc>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 associée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Temps jusqu’à valeur</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Démarrage → première obligation correctement clôturée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Doit diminuer par template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Taux de succès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SUCCESS / obligations éligibles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Segmenter par workflow et fournisseur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Faux positif</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Faute invalidée / fautes fournisseur classées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Seuil proche de zéro ; blocage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Indéterminé</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UNDETERMINED / obligations finalisables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Identifier lacunes de preuve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Coût unitaire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Chaîne + RPC + stockage + support / obligation</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Inférieur à la valeur captée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Prix accepté</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Budget explicite d’un décideur</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Condition de passage en bêta</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Renouvellement</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Pilotes renouvelés / pilotes éligibles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 de valeur récurrente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DÉCISION PRODUIT</w:t>
        <w:br/>
      </w:r>
      <w:r>
        <w:rPr>
          <w:rFonts w:ascii="Arial" w:hAnsi="Arial" w:eastAsia="Arial"/>
          <w:b w:val="0"/>
          <w:color w:val="162019"/>
          <w:sz w:val="20"/>
        </w:rPr>
        <w:t>Un produit viable et rentable sans token constitue un succès. L’intérêt pour ALPHA ne prouve pas la nécessité du token VERIDIA.</w:t>
      </w:r>
    </w:p>
    <w:p>
      <w:pPr>
        <w:keepNext/>
        <w:spacing w:before="440" w:after="100"/>
      </w:pPr>
      <w:r>
        <w:rPr>
          <w:rFonts w:ascii="Arial" w:hAnsi="Arial" w:eastAsia="Arial"/>
          <w:b/>
          <w:color w:val="C6A15B"/>
          <w:sz w:val="16"/>
        </w:rPr>
        <w:t>CHAPITRE 09</w:t>
      </w:r>
    </w:p>
    <w:p>
      <w:pPr>
        <w:pStyle w:val="Heading1"/>
        <w:pageBreakBefore w:val="0"/>
      </w:pPr>
      <w:r>
        <w:t>Traçabilité, décisions ouvertes et annexes</w:t>
      </w:r>
    </w:p>
    <w:p>
      <w:pPr>
        <w:pStyle w:val="Heading2"/>
      </w:pPr>
      <w:r>
        <w:t>Matrice de traçabilité</w:t>
      </w:r>
    </w:p>
    <w:tbl>
      <w:tblPr>
        <w:tblStyle w:val="TableGrid"/>
        <w:tblW w:type="dxa" w:w="9500"/>
        <w:jc w:val="left"/>
        <w:tblLayout w:type="fixed"/>
        <w:tblLook w:firstColumn="1" w:firstRow="1" w:lastColumn="0" w:lastRow="0" w:noHBand="0" w:noVBand="1" w:val="04A0"/>
        <w:tblInd w:w="120" w:type="dxa"/>
      </w:tblPr>
      <w:tblGrid>
        <w:gridCol w:w="1900"/>
        <w:gridCol w:w="2900"/>
        <w:gridCol w:w="3300"/>
        <w:gridCol w:w="14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c>
          <w:tcPr>
            <w:tcW w:type="dxa" w:w="2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Artefact de conception</w:t>
            </w:r>
          </w:p>
        </w:tc>
        <w:tc>
          <w:tcPr>
            <w:tcW w:type="dxa" w:w="33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Preuve d’exécution</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Snapshot immuable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Schéma + règle d’acceptation</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 et exemple signé</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négative</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Politique + trust domains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Corpus adversarial</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Partiel / interne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Idempotence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 unicité, journal et outbox</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 de rejeu et reprise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Finalité / reorg</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Politique chaîne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Fixtures et rollback</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Tests locaux à relier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Export de preuve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Schéma certificate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Dossier E2E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formaliser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Base Sepolia</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Manifest de déploiement</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Adresses, tx, bytecodes et rôles</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Opérations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Runbooks et alertes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Exercice de reprise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bl>
    <w:p>
      <w:pPr>
        <w:spacing w:after="40"/>
      </w:pPr>
    </w:p>
    <w:p>
      <w:pPr>
        <w:pStyle w:val="Heading2"/>
      </w:pPr>
      <w:r>
        <w:t>Décisions ouvertes</w:t>
      </w:r>
    </w:p>
    <w:tbl>
      <w:tblPr>
        <w:tblStyle w:val="TableGrid"/>
        <w:tblW w:type="dxa" w:w="9500"/>
        <w:jc w:val="left"/>
        <w:tblLayout w:type="fixed"/>
        <w:tblLook w:firstColumn="1" w:firstRow="1" w:lastColumn="0" w:lastRow="0" w:noHBand="0" w:noVBand="1" w:val="04A0"/>
        <w:tblInd w:w="120" w:type="dxa"/>
      </w:tblPr>
      <w:tblGrid>
        <w:gridCol w:w="1200"/>
        <w:gridCol w:w="5100"/>
        <w:gridCol w:w="32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5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Question</w:t>
            </w:r>
          </w:p>
        </w:tc>
        <w:tc>
          <w:tcPr>
            <w:tcW w:type="dxa" w:w="3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Décision attendue avant</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D-01</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 workflow réel devient l’unique template pilote ?</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Développement produit supplémentaire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D-02</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Quelle identité relie les acteurs aux adresses ?</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Pilote externe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D-03</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 seuil de finalité et quelles exceptions Base ?</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Testnet dédié</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D-04</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Quels collecteurs constituent deux domaines réellement indépendants ?</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Toute preuve négative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D-05</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Quelle conséquence non financière suffit au pilote ?</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Signature pilote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D-06</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 prix ou budget le décideur accepte-t-il ?</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Bêta payante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D-07</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Quelle qualification juridique pour chaque flux et responsabilité ?</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Fonction économique</w:t>
            </w:r>
          </w:p>
        </w:tc>
      </w:tr>
    </w:tbl>
    <w:p>
      <w:pPr>
        <w:spacing w:after="40"/>
      </w:pPr>
    </w:p>
    <w:p>
      <w:pPr>
        <w:pStyle w:val="Heading2"/>
      </w:pPr>
      <w:r>
        <w:t>Schéma minimal de Proof Certificate</w:t>
      </w:r>
    </w:p>
    <w:p>
      <w:pPr>
        <w:numPr>
          <w:ilvl w:val="0"/>
          <w:numId w:val="26"/>
        </w:numPr>
        <w:spacing w:after="80" w:line="283" w:lineRule="auto"/>
      </w:pPr>
      <w:r>
        <w:rPr>
          <w:rFonts w:ascii="Arial" w:hAnsi="Arial" w:eastAsia="Arial"/>
          <w:color w:val="162019"/>
          <w:sz w:val="20"/>
        </w:rPr>
        <w:t>certificateId, schemaVersion, policyId, policyVersion et environnement ;</w:t>
      </w:r>
    </w:p>
    <w:p>
      <w:pPr>
        <w:numPr>
          <w:ilvl w:val="0"/>
          <w:numId w:val="26"/>
        </w:numPr>
        <w:spacing w:after="80" w:line="283" w:lineRule="auto"/>
      </w:pPr>
      <w:r>
        <w:rPr>
          <w:rFonts w:ascii="Arial" w:hAnsi="Arial" w:eastAsia="Arial"/>
          <w:color w:val="162019"/>
          <w:sz w:val="20"/>
        </w:rPr>
        <w:t>chainId, targetContract, requestId, requesterId et providerId ;</w:t>
      </w:r>
    </w:p>
    <w:p>
      <w:pPr>
        <w:numPr>
          <w:ilvl w:val="0"/>
          <w:numId w:val="26"/>
        </w:numPr>
        <w:spacing w:after="80" w:line="283" w:lineRule="auto"/>
      </w:pPr>
      <w:r>
        <w:rPr>
          <w:rFonts w:ascii="Arial" w:hAnsi="Arial" w:eastAsia="Arial"/>
          <w:color w:val="162019"/>
          <w:sz w:val="20"/>
        </w:rPr>
        <w:t>fenêtre temporelle, plage de blocs, confirmations et statut de finalité ;</w:t>
      </w:r>
    </w:p>
    <w:p>
      <w:pPr>
        <w:numPr>
          <w:ilvl w:val="0"/>
          <w:numId w:val="26"/>
        </w:numPr>
        <w:spacing w:after="80" w:line="283" w:lineRule="auto"/>
      </w:pPr>
      <w:r>
        <w:rPr>
          <w:rFonts w:ascii="Arial" w:hAnsi="Arial" w:eastAsia="Arial"/>
          <w:color w:val="162019"/>
          <w:sz w:val="20"/>
        </w:rPr>
        <w:t>evidenceIds, collecteurs, domaines de confiance, signatures et révocations ;</w:t>
      </w:r>
    </w:p>
    <w:p>
      <w:pPr>
        <w:numPr>
          <w:ilvl w:val="0"/>
          <w:numId w:val="26"/>
        </w:numPr>
        <w:spacing w:after="80" w:line="283" w:lineRule="auto"/>
      </w:pPr>
      <w:r>
        <w:rPr>
          <w:rFonts w:ascii="Arial" w:hAnsi="Arial" w:eastAsia="Arial"/>
          <w:color w:val="162019"/>
          <w:sz w:val="20"/>
        </w:rPr>
        <w:t>résultat, exclusions, niveau de confiance décomposé et codes de raison ;</w:t>
      </w:r>
    </w:p>
    <w:p>
      <w:pPr>
        <w:numPr>
          <w:ilvl w:val="0"/>
          <w:numId w:val="26"/>
        </w:numPr>
        <w:spacing w:after="80" w:line="283" w:lineRule="auto"/>
      </w:pPr>
      <w:r>
        <w:rPr>
          <w:rFonts w:ascii="Arial" w:hAnsi="Arial" w:eastAsia="Arial"/>
          <w:color w:val="162019"/>
          <w:sz w:val="20"/>
        </w:rPr>
        <w:t>empreinte des données hors chaîne, emplacement autorisé et politique de rétention ;</w:t>
      </w:r>
    </w:p>
    <w:p>
      <w:pPr>
        <w:numPr>
          <w:ilvl w:val="0"/>
          <w:numId w:val="26"/>
        </w:numPr>
        <w:spacing w:after="80" w:line="283" w:lineRule="auto"/>
      </w:pPr>
      <w:r>
        <w:rPr>
          <w:rFonts w:ascii="Arial" w:hAnsi="Arial" w:eastAsia="Arial"/>
          <w:color w:val="162019"/>
          <w:sz w:val="20"/>
        </w:rPr>
        <w:t>date de création, version précédente, supersession et clôture.</w:t>
      </w:r>
    </w:p>
    <w:p>
      <w:pPr>
        <w:pStyle w:val="Heading2"/>
      </w:pPr>
      <w:r>
        <w:t>Glossaire</w:t>
      </w:r>
    </w:p>
    <w:tbl>
      <w:tblPr>
        <w:tblStyle w:val="TableGrid"/>
        <w:tblW w:type="dxa" w:w="9500"/>
        <w:jc w:val="left"/>
        <w:tblLayout w:type="fixed"/>
        <w:tblLook w:firstColumn="1" w:firstRow="1" w:lastColumn="0" w:lastRow="0" w:noHBand="0" w:noVBand="1" w:val="04A0"/>
        <w:tblInd w:w="120" w:type="dxa"/>
      </w:tblPr>
      <w:tblGrid>
        <w:gridCol w:w="2450"/>
        <w:gridCol w:w="7050"/>
      </w:tblGrid>
      <w:tr>
        <w:trPr>
          <w:tblHeader w:val="true"/>
          <w:cantSplit/>
        </w:trPr>
        <w:tc>
          <w:tcPr>
            <w:tcW w:type="dxa" w:w="2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Terme</w:t>
            </w:r>
          </w:p>
        </w:tc>
        <w:tc>
          <w:tcPr>
            <w:tcW w:type="dxa" w:w="70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ALPHA</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Nom de travail de la couche de garantie de service objective de Pacturion</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Engagement</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Obligation bornée, acceptée et décrite par une politique versionnée</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Collecteur</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Composant autorisé qui observe une source et authentifie une preuve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Finalité</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Niveau de stabilité à partir duquel un événement peut être classé</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 closed</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Refus de conclure ou payer quand la preuve est insuffisante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Proof Certificate</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Dossier versionné résumant engagement, preuves, politique et résultat</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Trust domain</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Domaine de dépendance dont l’indépendance doit être explicitement démontrée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Protocol</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Infrastructure technique développée par Pacturion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RÈGLE FINALE</w:t>
        <w:br/>
      </w:r>
      <w:r>
        <w:rPr>
          <w:rFonts w:ascii="Arial" w:hAnsi="Arial" w:eastAsia="Arial"/>
          <w:b w:val="0"/>
          <w:color w:val="162019"/>
          <w:sz w:val="20"/>
        </w:rPr>
        <w:t>Aucune ligne de cette spécification ne doit être présentée comme implémentée, auditée ou validée par le marché sans artefact vérifiable correspondant.</w:t>
      </w:r>
    </w:p>
    <w:p>
      <w:pPr>
        <w:pStyle w:val="Heading2"/>
      </w:pPr>
      <w:r>
        <w:t>Décision de clôture V1.0</w:t>
      </w:r>
    </w:p>
    <w:p>
      <w:pPr>
        <w:spacing w:after="140" w:line="307" w:lineRule="auto"/>
      </w:pPr>
      <w:r>
        <w:rPr>
          <w:rFonts w:ascii="Arial" w:hAnsi="Arial" w:eastAsia="Arial"/>
          <w:i w:val="0"/>
          <w:color w:val="162019"/>
          <w:sz w:val="20"/>
        </w:rPr>
        <w:t>Cette spécification est suffisamment précise pour cadrer le prochain incrément ALPHA, mais elle n’autorise pas encore un pilote externe. Le passage suivant exige la réconciliation des preuves Base Sepolia, la formalisation des rapports Phase 3.E et Release Candidate, puis la démonstration de la persistance et de la reprise.</w:t>
      </w:r>
    </w:p>
    <w:p>
      <w:pPr>
        <w:numPr>
          <w:ilvl w:val="0"/>
          <w:numId w:val="27"/>
        </w:numPr>
        <w:spacing w:after="80" w:line="283" w:lineRule="auto"/>
      </w:pPr>
      <w:r>
        <w:rPr>
          <w:rFonts w:ascii="Arial" w:hAnsi="Arial" w:eastAsia="Arial"/>
          <w:color w:val="162019"/>
          <w:sz w:val="20"/>
        </w:rPr>
        <w:t>compléter le registre de déploiement avec les adresses, transactions, bytecodes et rôles vérifiables ;</w:t>
      </w:r>
    </w:p>
    <w:p>
      <w:pPr>
        <w:numPr>
          <w:ilvl w:val="0"/>
          <w:numId w:val="27"/>
        </w:numPr>
        <w:spacing w:after="80" w:line="283" w:lineRule="auto"/>
      </w:pPr>
      <w:r>
        <w:rPr>
          <w:rFonts w:ascii="Arial" w:hAnsi="Arial" w:eastAsia="Arial"/>
          <w:color w:val="162019"/>
          <w:sz w:val="20"/>
        </w:rPr>
        <w:t>relier chaque exigence critique à ses tests, résultats et versions de code ;</w:t>
      </w:r>
    </w:p>
    <w:p>
      <w:pPr>
        <w:numPr>
          <w:ilvl w:val="0"/>
          <w:numId w:val="27"/>
        </w:numPr>
        <w:spacing w:after="80" w:line="283" w:lineRule="auto"/>
      </w:pPr>
      <w:r>
        <w:rPr>
          <w:rFonts w:ascii="Arial" w:hAnsi="Arial" w:eastAsia="Arial"/>
          <w:color w:val="162019"/>
          <w:sz w:val="20"/>
        </w:rPr>
        <w:t>choisir un unique workflow pilote réel et définir ses seuils de succès et d’arrêt.</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ALPHA V1.0</w:t>
    </w:r>
    <w:r>
      <w:rPr>
        <w:rFonts w:ascii="Arial" w:hAnsi="Arial" w:eastAsia="Arial"/>
        <w:b/>
        <w:color w:val="C6A15B"/>
        <w:sz w:val="14"/>
      </w:rPr>
      <w:tab/>
      <w:t xml:space="preserve">DOCUMENT PRODUIT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SPÉCIFICATION ALPHA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bullet"/>
      <w:lvlText w:val="•"/>
      <w:suff w:val="tab"/>
      <w:pPr>
        <w:tabs>
          <w:tab w:val="num" w:pos="540"/>
        </w:tabs>
        <w:ind w:left="540" w:hanging="270"/>
      </w:pPr>
      <w:rPr>
        <w:color w:val="C6A15B"/>
      </w:rPr>
    </w:lvl>
  </w:abstractNum>
  <w:num w:numId="17">
    <w:abstractNumId w:val="16"/>
  </w:num>
  <w:abstractNum w:abstractNumId="17">
    <w:multiLevelType w:val="singleLevel"/>
    <w:lvl w:ilvl="0">
      <w:start w:val="1"/>
      <w:numFmt w:val="decimal"/>
      <w:lvlText w:val="%1."/>
      <w:suff w:val="tab"/>
      <w:pPr>
        <w:tabs>
          <w:tab w:val="num" w:pos="540"/>
        </w:tabs>
        <w:ind w:left="540" w:hanging="270"/>
      </w:pPr>
      <w:rPr>
        <w:color w:val="155A3E"/>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decimal"/>
      <w:lvlText w:val="%1."/>
      <w:suff w:val="tab"/>
      <w:pPr>
        <w:tabs>
          <w:tab w:val="num" w:pos="540"/>
        </w:tabs>
        <w:ind w:left="540" w:hanging="270"/>
      </w:pPr>
      <w:rPr>
        <w:color w:val="155A3E"/>
      </w:rPr>
    </w:lvl>
  </w:abstractNum>
  <w:num w:numId="20">
    <w:abstractNumId w:val="19"/>
  </w:num>
  <w:abstractNum w:abstractNumId="20">
    <w:multiLevelType w:val="singleLevel"/>
    <w:lvl w:ilvl="0">
      <w:start w:val="1"/>
      <w:numFmt w:val="bullet"/>
      <w:lvlText w:val="•"/>
      <w:suff w:val="tab"/>
      <w:pPr>
        <w:tabs>
          <w:tab w:val="num" w:pos="540"/>
        </w:tabs>
        <w:ind w:left="540" w:hanging="270"/>
      </w:pPr>
      <w:rPr>
        <w:color w:val="C6A15B"/>
      </w:rPr>
    </w:lvl>
  </w:abstractNum>
  <w:num w:numId="21">
    <w:abstractNumId w:val="20"/>
  </w:num>
  <w:abstractNum w:abstractNumId="21">
    <w:multiLevelType w:val="singleLevel"/>
    <w:lvl w:ilvl="0">
      <w:start w:val="1"/>
      <w:numFmt w:val="bullet"/>
      <w:lvlText w:val="•"/>
      <w:suff w:val="tab"/>
      <w:pPr>
        <w:tabs>
          <w:tab w:val="num" w:pos="540"/>
        </w:tabs>
        <w:ind w:left="540" w:hanging="270"/>
      </w:pPr>
      <w:rPr>
        <w:color w:val="C6A15B"/>
      </w:rPr>
    </w:lvl>
  </w:abstractNum>
  <w:num w:numId="22">
    <w:abstractNumId w:val="21"/>
  </w:num>
  <w:abstractNum w:abstractNumId="22">
    <w:multiLevelType w:val="singleLevel"/>
    <w:lvl w:ilvl="0">
      <w:start w:val="1"/>
      <w:numFmt w:val="bullet"/>
      <w:lvlText w:val="•"/>
      <w:suff w:val="tab"/>
      <w:pPr>
        <w:tabs>
          <w:tab w:val="num" w:pos="540"/>
        </w:tabs>
        <w:ind w:left="540" w:hanging="270"/>
      </w:pPr>
      <w:rPr>
        <w:color w:val="C6A15B"/>
      </w:rPr>
    </w:lvl>
  </w:abstractNum>
  <w:num w:numId="23">
    <w:abstractNumId w:val="22"/>
  </w:num>
  <w:abstractNum w:abstractNumId="23">
    <w:multiLevelType w:val="singleLevel"/>
    <w:lvl w:ilvl="0">
      <w:start w:val="1"/>
      <w:numFmt w:val="bullet"/>
      <w:lvlText w:val="•"/>
      <w:suff w:val="tab"/>
      <w:pPr>
        <w:tabs>
          <w:tab w:val="num" w:pos="540"/>
        </w:tabs>
        <w:ind w:left="540" w:hanging="270"/>
      </w:pPr>
      <w:rPr>
        <w:color w:val="C6A15B"/>
      </w:rPr>
    </w:lvl>
  </w:abstractNum>
  <w:num w:numId="24">
    <w:abstractNumId w:val="23"/>
  </w:num>
  <w:abstractNum w:abstractNumId="24">
    <w:multiLevelType w:val="singleLevel"/>
    <w:lvl w:ilvl="0">
      <w:start w:val="1"/>
      <w:numFmt w:val="decimal"/>
      <w:lvlText w:val="%1."/>
      <w:suff w:val="tab"/>
      <w:pPr>
        <w:tabs>
          <w:tab w:val="num" w:pos="540"/>
        </w:tabs>
        <w:ind w:left="540" w:hanging="270"/>
      </w:pPr>
      <w:rPr>
        <w:color w:val="155A3E"/>
      </w:rPr>
    </w:lvl>
  </w:abstractNum>
  <w:num w:numId="25">
    <w:abstractNumId w:val="24"/>
  </w:num>
  <w:abstractNum w:abstractNumId="25">
    <w:multiLevelType w:val="singleLevel"/>
    <w:lvl w:ilvl="0">
      <w:start w:val="1"/>
      <w:numFmt w:val="bullet"/>
      <w:lvlText w:val="•"/>
      <w:suff w:val="tab"/>
      <w:pPr>
        <w:tabs>
          <w:tab w:val="num" w:pos="540"/>
        </w:tabs>
        <w:ind w:left="540" w:hanging="270"/>
      </w:pPr>
      <w:rPr>
        <w:color w:val="C6A15B"/>
      </w:rPr>
    </w:lvl>
  </w:abstractNum>
  <w:num w:numId="26">
    <w:abstractNumId w:val="25"/>
  </w:num>
  <w:abstractNum w:abstractNumId="26">
    <w:multiLevelType w:val="singleLevel"/>
    <w:lvl w:ilvl="0">
      <w:start w:val="1"/>
      <w:numFmt w:val="bullet"/>
      <w:lvlText w:val="•"/>
      <w:suff w:val="tab"/>
      <w:pPr>
        <w:tabs>
          <w:tab w:val="num" w:pos="540"/>
        </w:tabs>
        <w:ind w:left="540" w:hanging="270"/>
      </w:pPr>
      <w:rPr>
        <w:color w:val="C6A15B"/>
      </w:rPr>
    </w:lvl>
  </w:abstract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Spécification fonctionnelle et technique ALPHA V1.0</dc:title>
  <dc:subject>Couche de garantie de service objective pour engagements on-chain bornés</dc:subject>
  <dc:creator>Pacturion</dc:creator>
  <cp:keywords>Pacturion, ALPHA, VERIDIA Protocol, spécification, preuve, engagement, Base Sepolia</cp:keywords>
  <dc:description>Document produit contrôlé — hypothèse produit non validée</dc:description>
  <cp:lastModifiedBy/>
  <cp:revision>1</cp:revision>
  <dcterms:created xsi:type="dcterms:W3CDTF">2013-12-23T23:15:00Z</dcterms:created>
  <dcterms:modified xsi:type="dcterms:W3CDTF">2013-12-23T23:15:00Z</dcterms:modified>
  <cp:category/>
</cp:coreProperties>
</file>