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12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140"/>
      </w:pPr>
      <w:r>
        <w:rPr>
          <w:rFonts w:ascii="Arial" w:hAnsi="Arial" w:eastAsia="Arial"/>
          <w:b/>
          <w:color w:val="06110B"/>
          <w:sz w:val="62"/>
        </w:rPr>
        <w:t>WHITE PAPER</w:t>
      </w:r>
    </w:p>
    <w:p>
      <w:pPr>
        <w:spacing w:after="160"/>
      </w:pPr>
      <w:r>
        <w:rPr>
          <w:rFonts w:ascii="Arial" w:hAnsi="Arial" w:eastAsia="Arial"/>
          <w:color w:val="155A3E"/>
          <w:sz w:val="34"/>
        </w:rPr>
        <w:t>Infrastructure for verifiable commitments</w:t>
      </w:r>
    </w:p>
    <w:p>
      <w:pPr>
        <w:spacing w:after="460"/>
      </w:pPr>
      <w:r>
        <w:rPr>
          <w:rFonts w:ascii="Arial" w:hAnsi="Arial" w:eastAsia="Arial"/>
          <w:color w:val="162019"/>
          <w:sz w:val="23"/>
        </w:rPr>
        <w:t>Vision stratégique, architecture de VERIDIA Protocol, pistes produit et discipline de validation.</w:t>
      </w:r>
    </w:p>
    <w:tbl>
      <w:tblPr>
        <w:tblStyle w:val="TableGrid"/>
        <w:tblW w:type="dxa" w:w="9500"/>
        <w:jc w:val="left"/>
        <w:tblLayout w:type="fixed"/>
        <w:tblLook w:firstColumn="1" w:firstRow="1" w:lastColumn="0" w:lastRow="0" w:noHBand="0" w:noVBand="1" w:val="04A0"/>
        <w:tblInd w:w="120" w:type="dxa"/>
      </w:tblPr>
      <w:tblGrid>
        <w:gridCol w:w="1300"/>
        <w:gridCol w:w="2100"/>
        <w:gridCol w:w="3000"/>
        <w:gridCol w:w="3100"/>
      </w:tblGrid>
      <w:tr>
        <w:trPr>
          <w:tblHeader w:val="true"/>
          <w:cantSplit/>
        </w:trPr>
        <w:tc>
          <w:tcPr>
            <w:tcW w:type="dxa" w:w="13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0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3100"/>
            <w:shd w:fill="06110B"/>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PÉRIMÈTRE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Document technique contrôlé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 + VERIDIA Protocol</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STATUT DOCUMENTAIRE</w:t>
        <w:br/>
      </w:r>
      <w:r>
        <w:rPr>
          <w:rFonts w:ascii="Arial" w:hAnsi="Arial" w:eastAsia="Arial"/>
          <w:b w:val="0"/>
          <w:color w:val="162019"/>
          <w:sz w:val="20"/>
        </w:rPr>
        <w:t>Cette V1.0 est un livre blanc technique et stratégique de Pacturion. Elle ne constitue ni une offre au public, ni une sollicitation, ni un conseil en investissement, ni un prospectus, ni un livre blanc sur les crypto-actifs notifié au titre de MiCA.</w:t>
      </w:r>
    </w:p>
    <w:p>
      <w:pPr>
        <w:spacing w:before="560"/>
      </w:pPr>
      <w:r>
        <w:rPr>
          <w:rFonts w:ascii="Arial" w:hAnsi="Arial" w:eastAsia="Arial"/>
          <w:b/>
          <w:color w:val="C6A15B"/>
          <w:sz w:val="22"/>
        </w:rPr>
        <w:t>La preuve avant la promesse.</w:t>
      </w:r>
    </w:p>
    <w:p>
      <w:r>
        <w:br w:type="page"/>
      </w:r>
    </w:p>
    <w:p>
      <w:pPr>
        <w:keepNext/>
        <w:spacing w:before="0" w:after="100"/>
      </w:pPr>
      <w:r>
        <w:rPr>
          <w:rFonts w:ascii="Arial" w:hAnsi="Arial" w:eastAsia="Arial"/>
          <w:b/>
          <w:color w:val="C6A15B"/>
          <w:sz w:val="16"/>
        </w:rPr>
        <w:t>WHITE PAPER PACTURION</w:t>
      </w:r>
    </w:p>
    <w:p>
      <w:pPr>
        <w:pStyle w:val="Heading1"/>
      </w:pPr>
      <w:r>
        <w:t>Contrôle du document</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Marque / projet</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 technique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Protocol — engagements, preuves, décisions et traçabilité</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 — document technique et stratégique contrôlé</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Date de référence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8 septembre 2026</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Réseau cible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Base ; environnement de test Base Sepolia (chain ID 84532)</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public</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Aucune offre, aucune admission à la négociation, aucune promesse de rendement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Responsable légal / offreur</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compléter après constitution et avis juridique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 à la date de référence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Langue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Français ; traduction anglaise à produire avant déploiement international</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DE LECTURE</w:t>
        <w:br/>
      </w:r>
      <w:r>
        <w:rPr>
          <w:rFonts w:ascii="Arial" w:hAnsi="Arial" w:eastAsia="Arial"/>
          <w:b w:val="0"/>
          <w:color w:val="162019"/>
          <w:sz w:val="20"/>
        </w:rPr>
        <w:t>Les mentions « réalisé », « testé » et « déployé » ne sont pas interchangeables. Un test local ne prouve pas un déploiement ; un testnet ne prouve ni la sécurité mainnet, ni l'existence d'un marché, ni la conformité réglementaire.</w:t>
      </w:r>
    </w:p>
    <w:p>
      <w:r>
        <w:br w:type="page"/>
      </w:r>
    </w:p>
    <w:p>
      <w:pPr>
        <w:keepNext/>
        <w:spacing w:before="0" w:after="100"/>
      </w:pPr>
      <w:r>
        <w:rPr>
          <w:rFonts w:ascii="Arial" w:hAnsi="Arial" w:eastAsia="Arial"/>
          <w:b/>
          <w:color w:val="C6A15B"/>
          <w:sz w:val="16"/>
        </w:rPr>
        <w:t>WHITE PAPER PACTURION</w:t>
      </w:r>
    </w:p>
    <w:p>
      <w:pPr>
        <w:pStyle w:val="Heading1"/>
      </w:pPr>
      <w:r>
        <w:t>Table des matières</w:t>
      </w:r>
    </w:p>
    <w:tbl>
      <w:tblPr>
        <w:tblStyle w:val="TableGrid"/>
        <w:tblW w:type="dxa" w:w="9500"/>
        <w:jc w:val="left"/>
        <w:tblLayout w:type="fixed"/>
        <w:tblLook w:firstColumn="1" w:firstRow="1" w:lastColumn="0" w:lastRow="0" w:noHBand="0" w:noVBand="1" w:val="04A0"/>
        <w:tblInd w:w="120" w:type="dxa"/>
      </w:tblPr>
      <w:tblGrid>
        <w:gridCol w:w="2450"/>
        <w:gridCol w:w="7050"/>
      </w:tblGrid>
      <w:tr>
        <w:trPr>
          <w:tblHeader w:val="true"/>
          <w:cantSplit/>
        </w:trPr>
        <w:tc>
          <w:tcPr>
            <w:tcW w:type="dxa" w:w="2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01</w:t>
            </w:r>
          </w:p>
        </w:tc>
        <w:tc>
          <w:tcPr>
            <w:tcW w:type="dxa" w:w="70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Pacturion, résumé exécutif et statut réel</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02</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Problème, vision et principes de conception</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03</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Architecture globale et frontières de confiance</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04</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 : couche de garantie de service objective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05</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BCS : règlement borné financé par sponsor</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06</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Proof-of-Reality : axe de R&amp;D physique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07</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Socle logiciel, données et intégrations</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08</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 propriétés, utilité et exclusions</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09</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Modèle économique et conservation de valeur</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Gouvernance, trésorerie et contrôle des privilèges</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11</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Sécurité, tests, audit et opérations</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12</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Marché, stratégie produit et mise sur le marché</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13</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Cadre juridique, MiCA, données et conformité</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14</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Risques et mesures de réduction</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15</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Indicateurs, décisions et trajectoire</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A–E</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Annexes : registres, conformité, glossaire et références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Pacturion et résumé exécutif</w:t>
      </w:r>
    </w:p>
    <w:p>
      <w:pPr>
        <w:spacing w:after="140" w:line="307" w:lineRule="auto"/>
      </w:pPr>
      <w:r>
        <w:rPr>
          <w:rFonts w:ascii="Arial" w:hAnsi="Arial" w:eastAsia="Arial"/>
          <w:color w:val="162019"/>
          <w:sz w:val="20"/>
        </w:rPr>
        <w:t>Pacturion développe VERIDIA Protocol, une infrastructure de preuves, d'engagements et de règlements vérifiables. Pacturion porte la vision, les cas d'usage, les partenariats et la relation avec le marché ; VERIDIA Protocol porte les règles techniques, les preuves, les décisions et la traçabilité. La proposition de valeur ne repose pas sur la création d'un actif spéculatif. Elle repose sur la capacité à définir une obligation objectivement observable, à figer ses paramètres, à authentifier les acteurs et les sources, à classer un résultat sans inventer de certitude, puis à déclencher uniquement les conséquences préfinancées et expressément autorisées.</w:t>
      </w:r>
    </w:p>
    <w:p>
      <w:pPr>
        <w:spacing w:after="140" w:line="307" w:lineRule="auto"/>
      </w:pPr>
      <w:r>
        <w:rPr>
          <w:rFonts w:ascii="Arial" w:hAnsi="Arial" w:eastAsia="Arial"/>
          <w:color w:val="162019"/>
          <w:sz w:val="20"/>
        </w:rPr>
        <w:t>Le programme Pacturion comprend aujourd'hui trois briques conceptuellement séparées. ALPHA est la piste produit prioritaire : une couche de garantie autour d'une action on-chain déterminée et limitée dans le temps. BCS est un module de règlement de campagnes financées à l'avance par un sponsor. Proof-of-Reality est un axe de recherche plus long terme consacré aux événements physiques signés par des équipements et corrélés entre plusieurs sources. Aucun de ces produits ne doit être artificiellement rendu dépendant du jeton VERIDIA.</w:t>
      </w:r>
    </w:p>
    <w:p>
      <w:pPr>
        <w:spacing w:before="100" w:after="180" w:line="283" w:lineRule="auto"/>
        <w:ind w:left="227" w:right="170"/>
        <w:shd w:fill="EDF3EF"/>
        <w:pBdr>
          <w:left w:val="single" w:sz="18" w:space="8" w:color="155A3E"/>
        </w:pBdr>
      </w:pPr>
      <w:r>
        <w:rPr>
          <w:rFonts w:ascii="Arial" w:hAnsi="Arial" w:eastAsia="Arial"/>
          <w:b/>
          <w:color w:val="155A3E"/>
          <w:sz w:val="16"/>
        </w:rPr>
        <w:t>DÉCISION STRATÉGIQUE</w:t>
        <w:br/>
      </w:r>
      <w:r>
        <w:rPr>
          <w:rFonts w:ascii="Arial" w:hAnsi="Arial" w:eastAsia="Arial"/>
          <w:b w:val="0"/>
          <w:color w:val="162019"/>
          <w:sz w:val="20"/>
        </w:rPr>
        <w:t>Le produit doit pouvoir réussir sans vente de jeton. Si ALPHA ou BCS crée une valeur payée par des clients mais que VERIDIA n'apporte pas une propriété indispensable, le protocole doit rester tokenless ou garder le jeton inactif. Un bon produit ne justifie pas automatiquement un token.</w:t>
      </w:r>
    </w:p>
    <w:p>
      <w:pPr>
        <w:keepNext/>
        <w:spacing w:before="0" w:after="0" w:line="20" w:lineRule="exact"/>
      </w:pPr>
      <w:r>
        <w:rPr>
          <w:rFonts w:ascii="Arial" w:hAnsi="Arial" w:eastAsia="Arial"/>
          <w:color w:val="FFFFFF"/>
          <w:sz w:val="2"/>
        </w:rPr>
        <w:t xml:space="preserve"> </w:t>
      </w:r>
    </w:p>
    <w:p>
      <w:pPr>
        <w:pStyle w:val="Heading2"/>
      </w:pPr>
      <w:r>
        <w:t>État de référence au 8 septembre 2026</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Portée / réserve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Supply maximale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Définie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1 000 000 000 VERIDIA ; plafond fixe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Inflation / mint additionnel</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Exclu</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mécanisme d'émission discrétionnaire prévu</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Token tax / APY / partage de revenus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Exclus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promesse automatique ou économique aux détenteurs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Architecture Phase 1</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Implémentée localement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Token, allocation, trésorerie, vesting, staking de contrôle, Governor et Timelock selon les rapports internes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ALPHA Phase 3B</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interne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Durcissement adversarial et tests locaux ; ALPHA n'ajoute pas de Solidity dans ce jalon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3.E Human Pilot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déclaré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Jalon technique interne déclaré par le porteur ; rapport formel, scénarios, date et signature à annexer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Release Candidate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déclaré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Gate déclarée par le porteur ; commit, réserves, artefacts et visa formel à annexer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Déploiement signalé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 porteur du projet confirme un déploiement postérieur au rapport du 30 août ; adresses et transactions à insérer depuis le registre de déploiement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Mainnet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autorisé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lancement Base mainnet ni distribution publique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externe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Absent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Les contrôles internes ne remplacent pas une revue indépendante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Marché</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validé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 encore de sponsor, client payant, prix accepté ni coût de changement mesuré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Cadre juridique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Incomplet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Offreur, entité, conditions d'offre et qualification MiCA à établir</w:t>
            </w:r>
          </w:p>
        </w:tc>
      </w:tr>
    </w:tbl>
    <w:p>
      <w:pPr>
        <w:spacing w:after="40"/>
      </w:pPr>
    </w:p>
    <w:p>
      <w:pPr>
        <w:spacing w:after="140" w:line="307" w:lineRule="auto"/>
      </w:pPr>
      <w:r>
        <w:rPr>
          <w:rFonts w:ascii="Arial" w:hAnsi="Arial" w:eastAsia="Arial"/>
          <w:color w:val="162019"/>
          <w:sz w:val="20"/>
        </w:rPr>
        <w:t>Cette synthèse réconcilie deux états successifs : le rapport interne du 30 août 2026 constatait un blocage faute d'identifiants externes ; une mise à jour ultérieure du porteur du projet indique que le déploiement Base Sepolia a ensuite été effectué. Tant que les adresses, hashes de transactions, versions de bytecode et liens d'explorateur ne sont pas annexés, ce livre blanc ne les invente pas.</w:t>
      </w:r>
    </w:p>
    <w:p>
      <w:pPr>
        <w:keepNext/>
        <w:spacing w:before="0" w:after="0" w:line="20" w:lineRule="exact"/>
      </w:pPr>
      <w:r>
        <w:rPr>
          <w:rFonts w:ascii="Arial" w:hAnsi="Arial" w:eastAsia="Arial"/>
          <w:color w:val="FFFFFF"/>
          <w:sz w:val="2"/>
        </w:rPr>
        <w:t xml:space="preserve"> </w:t>
      </w:r>
    </w:p>
    <w:p>
      <w:pPr>
        <w:pStyle w:val="Heading2"/>
      </w:pPr>
      <w:r>
        <w:t>Ce que VERIDIA n'est pas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un mécanisme de rendement, de staking à APY automatique ou de revenu passif ;</w:t>
      </w:r>
    </w:p>
    <w:p>
      <w:pPr>
        <w:numPr>
          <w:ilvl w:val="0"/>
          <w:numId w:val="16"/>
        </w:numPr>
        <w:spacing w:after="80" w:line="283" w:lineRule="auto"/>
      </w:pPr>
      <w:r>
        <w:rPr>
          <w:rFonts w:ascii="Arial" w:hAnsi="Arial" w:eastAsia="Arial"/>
          <w:color w:val="162019"/>
          <w:sz w:val="20"/>
        </w:rPr>
        <w:t>une promesse de hausse, de liquidité, de rachat, de prix plancher ou de soutien de marché ;</w:t>
      </w:r>
    </w:p>
    <w:p>
      <w:pPr>
        <w:numPr>
          <w:ilvl w:val="0"/>
          <w:numId w:val="16"/>
        </w:numPr>
        <w:spacing w:after="80" w:line="283" w:lineRule="auto"/>
      </w:pPr>
      <w:r>
        <w:rPr>
          <w:rFonts w:ascii="Arial" w:hAnsi="Arial" w:eastAsia="Arial"/>
          <w:color w:val="162019"/>
          <w:sz w:val="20"/>
        </w:rPr>
        <w:t>un actif obligatoire pour payer ALPHA ou BCS ;</w:t>
      </w:r>
    </w:p>
    <w:p>
      <w:pPr>
        <w:numPr>
          <w:ilvl w:val="0"/>
          <w:numId w:val="16"/>
        </w:numPr>
        <w:spacing w:after="80" w:line="283" w:lineRule="auto"/>
      </w:pPr>
      <w:r>
        <w:rPr>
          <w:rFonts w:ascii="Arial" w:hAnsi="Arial" w:eastAsia="Arial"/>
          <w:color w:val="162019"/>
          <w:sz w:val="20"/>
        </w:rPr>
        <w:t>une preuve que les événements du monde physique sont vrais simplement parce qu'ils sont inscrits on-chain ;</w:t>
      </w:r>
    </w:p>
    <w:p>
      <w:pPr>
        <w:numPr>
          <w:ilvl w:val="0"/>
          <w:numId w:val="16"/>
        </w:numPr>
        <w:spacing w:after="80" w:line="283" w:lineRule="auto"/>
      </w:pPr>
      <w:r>
        <w:rPr>
          <w:rFonts w:ascii="Arial" w:hAnsi="Arial" w:eastAsia="Arial"/>
          <w:color w:val="162019"/>
          <w:sz w:val="20"/>
        </w:rPr>
        <w:t>une assurance réglementée, une garantie universelle ou un fonds d'indemnisation ;</w:t>
      </w:r>
    </w:p>
    <w:p>
      <w:pPr>
        <w:numPr>
          <w:ilvl w:val="0"/>
          <w:numId w:val="16"/>
        </w:numPr>
        <w:spacing w:after="80" w:line="283" w:lineRule="auto"/>
      </w:pPr>
      <w:r>
        <w:rPr>
          <w:rFonts w:ascii="Arial" w:hAnsi="Arial" w:eastAsia="Arial"/>
          <w:color w:val="162019"/>
          <w:sz w:val="20"/>
        </w:rPr>
        <w:t>un produit audité ou prêt pour un lancement mainnet à la date de référence.</w:t>
      </w:r>
    </w:p>
    <w:p>
      <w:pPr>
        <w:keepNext/>
        <w:spacing w:before="440" w:after="100"/>
      </w:pPr>
      <w:r>
        <w:rPr>
          <w:rFonts w:ascii="Arial" w:hAnsi="Arial" w:eastAsia="Arial"/>
          <w:b/>
          <w:color w:val="C6A15B"/>
          <w:sz w:val="16"/>
        </w:rPr>
        <w:t>CHAPITRE 02</w:t>
      </w:r>
    </w:p>
    <w:p>
      <w:pPr>
        <w:pStyle w:val="Heading1"/>
        <w:pageBreakBefore w:val="0"/>
      </w:pPr>
      <w:r>
        <w:t>Problème, vision et principes</w:t>
      </w:r>
    </w:p>
    <w:p>
      <w:pPr>
        <w:keepNext/>
        <w:spacing w:before="0" w:after="0" w:line="20" w:lineRule="exact"/>
      </w:pPr>
      <w:r>
        <w:rPr>
          <w:rFonts w:ascii="Arial" w:hAnsi="Arial" w:eastAsia="Arial"/>
          <w:color w:val="FFFFFF"/>
          <w:sz w:val="2"/>
        </w:rPr>
        <w:t xml:space="preserve"> </w:t>
      </w:r>
    </w:p>
    <w:p>
      <w:pPr>
        <w:pStyle w:val="Heading2"/>
      </w:pPr>
      <w:r>
        <w:t>Le problème</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De nombreuses opérations numériques ou physiques dépendent d'un engagement : une action doit être exécutée, une donnée doit être observée, une contribution doit être reconnue ou un règlement doit être versé. Les systèmes classiques fonctionnent souvent avec une base de données centrale, des journaux internes et une relation contractuelle. Cette architecture est rationnelle lorsque toutes les parties acceptent l'opérateur. Elle devient plus coûteuse lorsque plusieurs organisations doivent partager un état, reconstituer l'historique, vérifier une échéance ou contester une conséquence économique.</w:t>
      </w:r>
    </w:p>
    <w:p>
      <w:pPr>
        <w:spacing w:after="140" w:line="307" w:lineRule="auto"/>
      </w:pPr>
      <w:r>
        <w:rPr>
          <w:rFonts w:ascii="Arial" w:hAnsi="Arial" w:eastAsia="Arial"/>
          <w:color w:val="162019"/>
          <w:sz w:val="20"/>
        </w:rPr>
        <w:t>La blockchain n'est utile que si elle réduit réellement le coût de confiance ou de rapprochement. VERIDIA ne doit donc viser que les cas où l'obligation, l'identité de la demande, la version de la politique, la fenêtre temporelle, le succès et les exceptions peuvent être définis de manière suffisamment objective. Dès qu'une décision dépend d'une appréciation humaine, d'une qualité subjective ou d'une donnée physique non authentifiée, le système doit reconnaître cette limite.</w:t>
      </w:r>
    </w:p>
    <w:p>
      <w:pPr>
        <w:keepNext/>
        <w:spacing w:before="0" w:after="0" w:line="20" w:lineRule="exact"/>
      </w:pPr>
      <w:r>
        <w:rPr>
          <w:rFonts w:ascii="Arial" w:hAnsi="Arial" w:eastAsia="Arial"/>
          <w:color w:val="FFFFFF"/>
          <w:sz w:val="2"/>
        </w:rPr>
        <w:t xml:space="preserve"> </w:t>
      </w:r>
    </w:p>
    <w:p>
      <w:pPr>
        <w:pStyle w:val="Heading2"/>
      </w:pPr>
      <w:r>
        <w:t>Vision</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La vision de VERIDIA est de devenir une couche neutre permettant à des protocoles, entreprises, agents logiciels et, à terme, équipements physiques de produire des preuves structurées et des engagements vérifiables. La valeur visée est opérationnelle : moins de rapprochements manuels, des responsabilités mieux bornées, des règles connues à l'avance, un historique reproductible et des règlements dont la source est identifiable.</w:t>
      </w:r>
    </w:p>
    <w:p>
      <w:pPr>
        <w:keepNext/>
        <w:spacing w:before="0" w:after="0" w:line="20" w:lineRule="exact"/>
      </w:pPr>
      <w:r>
        <w:rPr>
          <w:rFonts w:ascii="Arial" w:hAnsi="Arial" w:eastAsia="Arial"/>
          <w:color w:val="FFFFFF"/>
          <w:sz w:val="2"/>
        </w:rPr>
        <w:t xml:space="preserve"> </w:t>
      </w:r>
    </w:p>
    <w:p>
      <w:pPr>
        <w:pStyle w:val="Heading2"/>
      </w:pPr>
      <w:r>
        <w:t>Principes non négociables</w:t>
      </w:r>
    </w:p>
    <w:p>
      <w:pPr>
        <w:keepNext/>
        <w:spacing w:before="0" w:after="0" w:line="20" w:lineRule="exact"/>
      </w:pPr>
      <w:r>
        <w:rPr>
          <w:rFonts w:ascii="Arial" w:hAnsi="Arial" w:eastAsia="Arial"/>
          <w:color w:val="FFFFFF"/>
          <w:sz w:val="2"/>
        </w:rPr>
        <w:t xml:space="preserve"> </w:t>
      </w:r>
    </w:p>
    <w:p>
      <w:pPr>
        <w:numPr>
          <w:ilvl w:val="0"/>
          <w:numId w:val="17"/>
        </w:numPr>
        <w:spacing w:after="80" w:line="283" w:lineRule="auto"/>
      </w:pPr>
      <w:r>
        <w:rPr>
          <w:rFonts w:ascii="Arial" w:hAnsi="Arial" w:eastAsia="Arial"/>
          <w:color w:val="162019"/>
          <w:sz w:val="20"/>
        </w:rPr>
        <w:t>Problème avant token. Chaque fonctionnalité est d'abord conçue sans VERIDIA ; l'actif n'est ajouté que s'il crée une propriété indispensable et non substituable.</w:t>
      </w:r>
    </w:p>
    <w:p>
      <w:pPr>
        <w:numPr>
          <w:ilvl w:val="0"/>
          <w:numId w:val="17"/>
        </w:numPr>
        <w:spacing w:after="80" w:line="283" w:lineRule="auto"/>
      </w:pPr>
      <w:r>
        <w:rPr>
          <w:rFonts w:ascii="Arial" w:hAnsi="Arial" w:eastAsia="Arial"/>
          <w:color w:val="162019"/>
          <w:sz w:val="20"/>
        </w:rPr>
        <w:t>Conservation avant incitation. Toute sortie économique doit avoir une source préexistante et documentée : fonds du sponsor, frais payés par un client ou collatéral volontaire.</w:t>
      </w:r>
    </w:p>
    <w:p>
      <w:pPr>
        <w:numPr>
          <w:ilvl w:val="0"/>
          <w:numId w:val="17"/>
        </w:numPr>
        <w:spacing w:after="80" w:line="283" w:lineRule="auto"/>
      </w:pPr>
      <w:r>
        <w:rPr>
          <w:rFonts w:ascii="Arial" w:hAnsi="Arial" w:eastAsia="Arial"/>
          <w:color w:val="162019"/>
          <w:sz w:val="20"/>
        </w:rPr>
        <w:t>Responsabilité bornée. Montants, fenêtres, événements attendus, exceptions et recours sont plafonnés avant acceptation.</w:t>
      </w:r>
    </w:p>
    <w:p>
      <w:pPr>
        <w:numPr>
          <w:ilvl w:val="0"/>
          <w:numId w:val="17"/>
        </w:numPr>
        <w:spacing w:after="80" w:line="283" w:lineRule="auto"/>
      </w:pPr>
      <w:r>
        <w:rPr>
          <w:rFonts w:ascii="Arial" w:hAnsi="Arial" w:eastAsia="Arial"/>
          <w:color w:val="162019"/>
          <w:sz w:val="20"/>
        </w:rPr>
        <w:t>Fail closed. En l'absence de preuve suffisante, le résultat est indéterminé ; le système ne fabrique ni faute, ni récompense, ni remède.</w:t>
      </w:r>
    </w:p>
    <w:p>
      <w:pPr>
        <w:numPr>
          <w:ilvl w:val="0"/>
          <w:numId w:val="17"/>
        </w:numPr>
        <w:spacing w:after="80" w:line="283" w:lineRule="auto"/>
      </w:pPr>
      <w:r>
        <w:rPr>
          <w:rFonts w:ascii="Arial" w:hAnsi="Arial" w:eastAsia="Arial"/>
          <w:color w:val="162019"/>
          <w:sz w:val="20"/>
        </w:rPr>
        <w:t>Séparation des registres. Escrow, frais, réserves, collatéral, trésorerie et allocations de jetons ne doivent pas être confondus.</w:t>
      </w:r>
    </w:p>
    <w:p>
      <w:pPr>
        <w:numPr>
          <w:ilvl w:val="0"/>
          <w:numId w:val="17"/>
        </w:numPr>
        <w:spacing w:after="80" w:line="283" w:lineRule="auto"/>
      </w:pPr>
      <w:r>
        <w:rPr>
          <w:rFonts w:ascii="Arial" w:hAnsi="Arial" w:eastAsia="Arial"/>
          <w:color w:val="162019"/>
          <w:sz w:val="20"/>
        </w:rPr>
        <w:t>Données minimales. Les données brutes, sensibles ou personnelles restent hors chaîne ; la chaîne reçoit uniquement les engagements nécessaires.</w:t>
      </w:r>
    </w:p>
    <w:p>
      <w:pPr>
        <w:numPr>
          <w:ilvl w:val="0"/>
          <w:numId w:val="17"/>
        </w:numPr>
        <w:spacing w:after="80" w:line="283" w:lineRule="auto"/>
      </w:pPr>
      <w:r>
        <w:rPr>
          <w:rFonts w:ascii="Arial" w:hAnsi="Arial" w:eastAsia="Arial"/>
          <w:color w:val="162019"/>
          <w:sz w:val="20"/>
        </w:rPr>
        <w:t>Gouvernance limitée. Le vote ne peut pas réécrire l'histoire, saisir un escrow, augmenter la supply ou inventer une preuve de faute.</w:t>
      </w:r>
    </w:p>
    <w:p>
      <w:pPr>
        <w:numPr>
          <w:ilvl w:val="0"/>
          <w:numId w:val="17"/>
        </w:numPr>
        <w:spacing w:after="80" w:line="283" w:lineRule="auto"/>
      </w:pPr>
      <w:r>
        <w:rPr>
          <w:rFonts w:ascii="Arial" w:hAnsi="Arial" w:eastAsia="Arial"/>
          <w:color w:val="162019"/>
          <w:sz w:val="20"/>
        </w:rPr>
        <w:t>Mesure et falsifiabilité. Chaque hypothèse produit, marché et token est associée à un seuil de validation et à une condition d'arrêt.</w:t>
      </w:r>
    </w:p>
    <w:p>
      <w:pPr>
        <w:keepNext/>
        <w:spacing w:before="440" w:after="100"/>
      </w:pPr>
      <w:r>
        <w:rPr>
          <w:rFonts w:ascii="Arial" w:hAnsi="Arial" w:eastAsia="Arial"/>
          <w:b/>
          <w:color w:val="C6A15B"/>
          <w:sz w:val="16"/>
        </w:rPr>
        <w:t>CHAPITRE 03</w:t>
      </w:r>
    </w:p>
    <w:p>
      <w:pPr>
        <w:pStyle w:val="Heading1"/>
        <w:pageBreakBefore w:val="0"/>
      </w:pPr>
      <w:r>
        <w:t>Architecture globale</w:t>
      </w:r>
    </w:p>
    <w:p>
      <w:pPr>
        <w:spacing w:after="140" w:line="307" w:lineRule="auto"/>
      </w:pPr>
      <w:r>
        <w:rPr>
          <w:rFonts w:ascii="Arial" w:hAnsi="Arial" w:eastAsia="Arial"/>
          <w:color w:val="162019"/>
          <w:sz w:val="20"/>
        </w:rPr>
        <w:t>L'architecture cible est modulaire. Les services partagent des briques techniques — identité, engagements, preuves, politique, indexation et observabilité — sans supposer qu'ils forment déjà un « VERIDIA Core » indispensable. Cette prudence évite de figer trop tôt un protocole généraliste.</w:t>
      </w:r>
    </w:p>
    <w:tbl>
      <w:tblPr>
        <w:tblStyle w:val="TableGrid"/>
        <w:tblW w:type="dxa" w:w="9500"/>
        <w:jc w:val="left"/>
        <w:tblLayout w:type="fixed"/>
        <w:tblLook w:firstColumn="1" w:firstRow="1" w:lastColumn="0" w:lastRow="0" w:noHBand="0" w:noVBand="1" w:val="04A0"/>
        <w:tblInd w:w="120" w:type="dxa"/>
      </w:tblPr>
      <w:tblGrid>
        <w:gridCol w:w="1850"/>
        <w:gridCol w:w="1950"/>
        <w:gridCol w:w="2950"/>
        <w:gridCol w:w="2750"/>
      </w:tblGrid>
      <w:tr>
        <w:trPr>
          <w:tblHeader w:val="true"/>
          <w:cantSplit/>
        </w:trPr>
        <w:tc>
          <w:tcPr>
            <w:tcW w:type="dxa" w:w="18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Couche</w:t>
            </w:r>
          </w:p>
        </w:tc>
        <w:tc>
          <w:tcPr>
            <w:tcW w:type="dxa" w:w="1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9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Données principales</w:t>
            </w:r>
          </w:p>
        </w:tc>
        <w:tc>
          <w:tcPr>
            <w:tcW w:type="dxa" w:w="2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Interfaces</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Portails demandeur, fournisseur, sponsor, vérificateur et administration</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Demandes, statuts, explications, alertes</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Prototype / développement</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API &amp; authentification</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Sessions, autorisations, validation stricte et limites de débit</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Identités, nonces, scopes, journaux</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Partiel ; acteurs authentifiés à finaliser</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Proof / Trust Engine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Normalisation, corrélation, politique, classification</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Engagements, preuves, versions, exclusions</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 local durci</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Indexer</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Lecture canonique, confirmations, reorg et reprise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Blocs, événements, identité d'événement</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 locaux ; durabilité à finaliser</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Persistance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Transactions, idempotence, journal de reprise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métier, preuves, audit trail</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réaliser en Phase 3C</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Token, allocations, gouvernance, trésorerie ; futurs engagements/règlements bornés</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Supply, droits, événements, caps</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Phase 1 local ; registre testnet à annexer</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Réseau</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Exécution EVM sur Base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Transactions, logs et état des contrats</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Sepolia ; mainnet non autorisé</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Opérations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Clés, monitoring, alertes, incidents, changements</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Métriques, traces, runbooks</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industrialiser</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Acteurs et responsabilités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Ne prouve pas à lui seul</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Demandeur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Définit une obligation permise et finance les frais ou conséquences bornées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validité future de toutes les conditions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Fournisseur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Accepte volontairement l'obligation et réalise l'action</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Qu'une absence d'événement lui est imputable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Observe une source autorisée et signe une preuve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vérité universelle hors de son domaine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Moteur de preuve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Vérifie format, version, source, cohérence et finalité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Une information subjective ou non observable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Reconstruit l'état canonique et traite les réorganisations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L'absence définitive avant finalité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Modifie uniquement des paramètres autorisés et bornés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faute historique d'un acteur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Trésorerie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Exécute des budgets approuvés sous plafond</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 droit sur l'escrow d'un sponsor ou d'un utilisateur</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Frontières de confiance</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La chaîne garantit l'ordre et l'exécution selon ses règles ; elle ne garantit pas la qualité d'une donnée importée.</w:t>
      </w:r>
    </w:p>
    <w:p>
      <w:pPr>
        <w:numPr>
          <w:ilvl w:val="0"/>
          <w:numId w:val="16"/>
        </w:numPr>
        <w:spacing w:after="80" w:line="283" w:lineRule="auto"/>
      </w:pPr>
      <w:r>
        <w:rPr>
          <w:rFonts w:ascii="Arial" w:hAnsi="Arial" w:eastAsia="Arial"/>
          <w:color w:val="162019"/>
          <w:sz w:val="20"/>
        </w:rPr>
        <w:t>Un collecteur authentifie l'origine d'une observation ; il ne garantit pas l'absence de panne, de collusion ou de compromission.</w:t>
      </w:r>
    </w:p>
    <w:p>
      <w:pPr>
        <w:numPr>
          <w:ilvl w:val="0"/>
          <w:numId w:val="16"/>
        </w:numPr>
        <w:spacing w:after="80" w:line="283" w:lineRule="auto"/>
      </w:pPr>
      <w:r>
        <w:rPr>
          <w:rFonts w:ascii="Arial" w:hAnsi="Arial" w:eastAsia="Arial"/>
          <w:color w:val="162019"/>
          <w:sz w:val="20"/>
        </w:rPr>
        <w:t>Un hash garantit l'intégrité du contenu correspondant ; il ne garantit ni l'exactitude du contenu, ni l'identité de son auteur sans mécanisme associé.</w:t>
      </w:r>
    </w:p>
    <w:p>
      <w:pPr>
        <w:numPr>
          <w:ilvl w:val="0"/>
          <w:numId w:val="16"/>
        </w:numPr>
        <w:spacing w:after="80" w:line="283" w:lineRule="auto"/>
      </w:pPr>
      <w:r>
        <w:rPr>
          <w:rFonts w:ascii="Arial" w:hAnsi="Arial" w:eastAsia="Arial"/>
          <w:color w:val="162019"/>
          <w:sz w:val="20"/>
        </w:rPr>
        <w:t>La gouvernance garantit une procédure de décision ; elle ne transforme pas un jugement majoritaire en preuve objective.</w:t>
      </w:r>
    </w:p>
    <w:p>
      <w:pPr>
        <w:numPr>
          <w:ilvl w:val="0"/>
          <w:numId w:val="16"/>
        </w:numPr>
        <w:spacing w:after="80" w:line="283" w:lineRule="auto"/>
      </w:pPr>
      <w:r>
        <w:rPr>
          <w:rFonts w:ascii="Arial" w:hAnsi="Arial" w:eastAsia="Arial"/>
          <w:color w:val="162019"/>
          <w:sz w:val="20"/>
        </w:rPr>
        <w:t>Le code borne les conséquences qu'il connaît ; les obligations juridiques, fiscales et réglementaires demeurent hors chaîne.</w:t>
      </w:r>
    </w:p>
    <w:p>
      <w:pPr>
        <w:keepNext/>
        <w:spacing w:before="440" w:after="100"/>
      </w:pPr>
      <w:r>
        <w:rPr>
          <w:rFonts w:ascii="Arial" w:hAnsi="Arial" w:eastAsia="Arial"/>
          <w:b/>
          <w:color w:val="C6A15B"/>
          <w:sz w:val="16"/>
        </w:rPr>
        <w:t>CHAPITRE 04</w:t>
      </w:r>
    </w:p>
    <w:p>
      <w:pPr>
        <w:pStyle w:val="Heading1"/>
        <w:pageBreakBefore w:val="0"/>
      </w:pPr>
      <w:r>
        <w:t>ALPHA : garantie de service objective</w:t>
      </w:r>
    </w:p>
    <w:p>
      <w:pPr>
        <w:spacing w:after="140" w:line="307" w:lineRule="auto"/>
      </w:pPr>
      <w:r>
        <w:rPr>
          <w:rFonts w:ascii="Arial" w:hAnsi="Arial" w:eastAsia="Arial"/>
          <w:color w:val="162019"/>
          <w:sz w:val="20"/>
        </w:rPr>
        <w:t>ALPHA est la piste produit la plus testable. Son premier cas d'usage est une demande préautorisée à calldata fixe, destinée à revendiquer un droit on-chain avant une échéance immuable. Le fournisseur accepte de soumettre l'action dans la fenêtre définie. Le système n'attribue une faute que si la demande, les autorisations, les fonds, l'état cible et les conditions de chaîne sont restés dans les bornes acceptées.</w:t>
      </w:r>
    </w:p>
    <w:p>
      <w:pPr>
        <w:keepNext/>
        <w:spacing w:before="0" w:after="0" w:line="20" w:lineRule="exact"/>
      </w:pPr>
      <w:r>
        <w:rPr>
          <w:rFonts w:ascii="Arial" w:hAnsi="Arial" w:eastAsia="Arial"/>
          <w:color w:val="FFFFFF"/>
          <w:sz w:val="2"/>
        </w:rPr>
        <w:t xml:space="preserve"> </w:t>
      </w:r>
    </w:p>
    <w:p>
      <w:pPr>
        <w:pStyle w:val="Heading2"/>
      </w:pPr>
      <w:r>
        <w:t>Cycle de vie conceptuel</w:t>
      </w:r>
    </w:p>
    <w:p>
      <w:pPr>
        <w:keepNext/>
        <w:spacing w:before="0" w:after="0" w:line="20" w:lineRule="exact"/>
      </w:pPr>
      <w:r>
        <w:rPr>
          <w:rFonts w:ascii="Arial" w:hAnsi="Arial" w:eastAsia="Arial"/>
          <w:color w:val="FFFFFF"/>
          <w:sz w:val="2"/>
        </w:rPr>
        <w:t xml:space="preserve"> </w:t>
      </w:r>
    </w:p>
    <w:p>
      <w:pPr>
        <w:numPr>
          <w:ilvl w:val="0"/>
          <w:numId w:val="18"/>
        </w:numPr>
        <w:spacing w:after="80" w:line="283" w:lineRule="auto"/>
      </w:pPr>
      <w:r>
        <w:rPr>
          <w:rFonts w:ascii="Arial" w:hAnsi="Arial" w:eastAsia="Arial"/>
          <w:color w:val="162019"/>
          <w:sz w:val="20"/>
        </w:rPr>
        <w:t>Engagement : le demandeur fixe chaîne, contrat cible, fonction, calldata ou hash de paramètres, identité, deadline, confirmations, plafond économique, politique et sources autorisées.</w:t>
      </w:r>
    </w:p>
    <w:p>
      <w:pPr>
        <w:numPr>
          <w:ilvl w:val="0"/>
          <w:numId w:val="18"/>
        </w:numPr>
        <w:spacing w:after="80" w:line="283" w:lineRule="auto"/>
      </w:pPr>
      <w:r>
        <w:rPr>
          <w:rFonts w:ascii="Arial" w:hAnsi="Arial" w:eastAsia="Arial"/>
          <w:color w:val="162019"/>
          <w:sz w:val="20"/>
        </w:rPr>
        <w:t>Validation préalable : l'API et la politique refusent les fonctions non permises, montants non bornés, timestamps incohérents, doublons, acteurs nuls ou versions inconnues.</w:t>
      </w:r>
    </w:p>
    <w:p>
      <w:pPr>
        <w:numPr>
          <w:ilvl w:val="0"/>
          <w:numId w:val="18"/>
        </w:numPr>
        <w:spacing w:after="80" w:line="283" w:lineRule="auto"/>
      </w:pPr>
      <w:r>
        <w:rPr>
          <w:rFonts w:ascii="Arial" w:hAnsi="Arial" w:eastAsia="Arial"/>
          <w:color w:val="162019"/>
          <w:sz w:val="20"/>
        </w:rPr>
        <w:t>Acceptation : le fournisseur signe l'intégralité de l'engagement ; les champs critiques deviennent immuables pour cette obligation.</w:t>
      </w:r>
    </w:p>
    <w:p>
      <w:pPr>
        <w:numPr>
          <w:ilvl w:val="0"/>
          <w:numId w:val="18"/>
        </w:numPr>
        <w:spacing w:after="80" w:line="283" w:lineRule="auto"/>
      </w:pPr>
      <w:r>
        <w:rPr>
          <w:rFonts w:ascii="Arial" w:hAnsi="Arial" w:eastAsia="Arial"/>
          <w:color w:val="162019"/>
          <w:sz w:val="20"/>
        </w:rPr>
        <w:t>Observation : des collecteurs enregistrés suivent la chaîne et publient des observations authentifiées. Les simples assertions HTTP publiques ne sont pas acceptées comme preuve.</w:t>
      </w:r>
    </w:p>
    <w:p>
      <w:pPr>
        <w:numPr>
          <w:ilvl w:val="0"/>
          <w:numId w:val="18"/>
        </w:numPr>
        <w:spacing w:after="80" w:line="283" w:lineRule="auto"/>
      </w:pPr>
      <w:r>
        <w:rPr>
          <w:rFonts w:ascii="Arial" w:hAnsi="Arial" w:eastAsia="Arial"/>
          <w:color w:val="162019"/>
          <w:sz w:val="20"/>
        </w:rPr>
        <w:t>Finalité et cohérence : l'indexer attend le nombre de confirmations requis, contrôle la continuité canonique et rembobine l'état en cas de reorg.</w:t>
      </w:r>
    </w:p>
    <w:p>
      <w:pPr>
        <w:numPr>
          <w:ilvl w:val="0"/>
          <w:numId w:val="18"/>
        </w:numPr>
        <w:spacing w:after="80" w:line="283" w:lineRule="auto"/>
      </w:pPr>
      <w:r>
        <w:rPr>
          <w:rFonts w:ascii="Arial" w:hAnsi="Arial" w:eastAsia="Arial"/>
          <w:color w:val="162019"/>
          <w:sz w:val="20"/>
        </w:rPr>
        <w:t>Classification : le moteur distingue succès, exclusion, faute demandeur, faute fournisseur ou indéterminé selon une politique versionnée.</w:t>
      </w:r>
    </w:p>
    <w:p>
      <w:pPr>
        <w:numPr>
          <w:ilvl w:val="0"/>
          <w:numId w:val="18"/>
        </w:numPr>
        <w:spacing w:after="80" w:line="283" w:lineRule="auto"/>
      </w:pPr>
      <w:r>
        <w:rPr>
          <w:rFonts w:ascii="Arial" w:hAnsi="Arial" w:eastAsia="Arial"/>
          <w:color w:val="162019"/>
          <w:sz w:val="20"/>
        </w:rPr>
        <w:t>Conséquence : une éventuelle compensation n'est éligible que dans les limites préfinancées et après satisfaction de la preuve ; la version locale actuelle reste symbolique et non financière.</w:t>
      </w:r>
    </w:p>
    <w:p>
      <w:pPr>
        <w:numPr>
          <w:ilvl w:val="0"/>
          <w:numId w:val="18"/>
        </w:numPr>
        <w:spacing w:after="80" w:line="283" w:lineRule="auto"/>
      </w:pPr>
      <w:r>
        <w:rPr>
          <w:rFonts w:ascii="Arial" w:hAnsi="Arial" w:eastAsia="Arial"/>
          <w:color w:val="162019"/>
          <w:sz w:val="20"/>
        </w:rPr>
        <w:t>Clôture : l'état terminal est immuable, auditable et idempotent ; toute tentative de mutation ou de double règlement est rejetée.</w:t>
      </w:r>
    </w:p>
    <w:p>
      <w:pPr>
        <w:keepNext/>
        <w:spacing w:before="0" w:after="0" w:line="20" w:lineRule="exact"/>
      </w:pPr>
      <w:r>
        <w:rPr>
          <w:rFonts w:ascii="Arial" w:hAnsi="Arial" w:eastAsia="Arial"/>
          <w:color w:val="FFFFFF"/>
          <w:sz w:val="2"/>
        </w:rPr>
        <w:t xml:space="preserve"> </w:t>
      </w:r>
    </w:p>
    <w:p>
      <w:pPr>
        <w:pStyle w:val="Heading2"/>
      </w:pPr>
      <w:r>
        <w:t>Taxonomie de résultat</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2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minimale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Conséquence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SUCCESS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 attendu canonique, paramètres conformes, finalité atteinte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 accomplie ; clôture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REQUESTER_FAULT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Demande invalide, autorisation révoquée, fonds absents ou état cible rendu incompatible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faute fournisseur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PROVIDER_FAULT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 valide après deadline et quorum négatif indépendant, sans exception applicable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Remède borné seulement si préfinancé et autorisé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CHAIN_EXCEPTION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Indisponibilité, reorg, congestion ou condition de chaîne définie par politique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Traitement selon exception, pas de faute automatique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CONTESTED</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Preuves authentiques mais contradictoires au-delà de la tolérance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 / investigation ; aucune attribution automatique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UNDETERMINED</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insuffisante ou absence non démontrée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Fail closed : aucun remède ni pénalité</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Règle de preuve négative</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L'absence d'un événement est plus difficile à prouver que sa présence. Le durcissement Phase 3B interdit donc de conclure à une faute fournisseur sur la seule expiration d'un délai. La conclusion exige au minimum deux domaines de confiance distincts, des observations postérieures à l'échéance, un état finalisé, une politique de chaîne cohérente et l'absence d'une exclusion prioritaire. Si l'une de ces conditions manque, le résultat doit rester UNDETERMINED.</w:t>
      </w:r>
    </w:p>
    <w:p>
      <w:pPr>
        <w:spacing w:before="100" w:after="180" w:line="283" w:lineRule="auto"/>
        <w:ind w:left="227" w:right="170"/>
        <w:shd w:fill="F6F0E3"/>
        <w:pBdr>
          <w:left w:val="single" w:sz="18" w:space="8" w:color="C6A15B"/>
        </w:pBdr>
      </w:pPr>
      <w:r>
        <w:rPr>
          <w:rFonts w:ascii="Arial" w:hAnsi="Arial" w:eastAsia="Arial"/>
          <w:b/>
          <w:color w:val="C6A15B"/>
          <w:sz w:val="16"/>
        </w:rPr>
        <w:t>INVARIANT DE SÉCURITÉ</w:t>
        <w:br/>
      </w:r>
      <w:r>
        <w:rPr>
          <w:rFonts w:ascii="Arial" w:hAnsi="Arial" w:eastAsia="Arial"/>
          <w:b w:val="0"/>
          <w:color w:val="162019"/>
          <w:sz w:val="20"/>
        </w:rPr>
        <w:t>Aucune absence de preuve ne doit être transformée en preuve d'absence. Aucune conséquence économique ne doit être déclenchée par un timeout isolé.</w:t>
      </w:r>
    </w:p>
    <w:p>
      <w:pPr>
        <w:keepNext/>
        <w:spacing w:before="0" w:after="0" w:line="20" w:lineRule="exact"/>
      </w:pPr>
      <w:r>
        <w:rPr>
          <w:rFonts w:ascii="Arial" w:hAnsi="Arial" w:eastAsia="Arial"/>
          <w:color w:val="FFFFFF"/>
          <w:sz w:val="2"/>
        </w:rPr>
        <w:t xml:space="preserve"> </w:t>
      </w:r>
    </w:p>
    <w:p>
      <w:pPr>
        <w:pStyle w:val="Heading2"/>
      </w:pPr>
      <w:r>
        <w:t>Cas d'usage admissibles et exclus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1850"/>
        <w:gridCol w:w="1950"/>
        <w:gridCol w:w="2950"/>
        <w:gridCol w:w="2750"/>
      </w:tblGrid>
      <w:tr>
        <w:trPr>
          <w:tblHeader w:val="true"/>
          <w:cantSplit/>
        </w:trPr>
        <w:tc>
          <w:tcPr>
            <w:tcW w:type="dxa" w:w="18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Admissible à étudier</w:t>
            </w:r>
          </w:p>
        </w:tc>
        <w:tc>
          <w:tcPr>
            <w:tcW w:type="dxa" w:w="1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Pourquoi</w:t>
            </w:r>
          </w:p>
        </w:tc>
        <w:tc>
          <w:tcPr>
            <w:tcW w:type="dxa" w:w="2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Exclu à ce stade</w:t>
            </w:r>
          </w:p>
        </w:tc>
        <w:tc>
          <w:tcPr>
            <w:tcW w:type="dxa" w:w="2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Pourquoi</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Claim on-chain avant expiration</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 et deadline observables</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Qualité d'une prestation humaine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Jugement subjectif</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Rollover d'époque permissionless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et fenêtre de chaîne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Rebalance selon meilleur prix</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Oracle, stratégie et MEV</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Finalisation d'enchère bornée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Événement attendu observable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Pause sur alerte hors chaîne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Cause externe et contestable</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Batch de règlement préengagé</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Hash et échéance fixés</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 décidée par IA</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Qualité et autorisation non objectives</w:t>
            </w:r>
          </w:p>
        </w:tc>
      </w:tr>
    </w:tbl>
    <w:p>
      <w:pPr>
        <w:spacing w:after="40"/>
      </w:pPr>
    </w:p>
    <w:p>
      <w:pPr>
        <w:keepNext/>
        <w:spacing w:before="440" w:after="100"/>
      </w:pPr>
      <w:r>
        <w:rPr>
          <w:rFonts w:ascii="Arial" w:hAnsi="Arial" w:eastAsia="Arial"/>
          <w:b/>
          <w:color w:val="C6A15B"/>
          <w:sz w:val="16"/>
        </w:rPr>
        <w:t>CHAPITRE 05</w:t>
      </w:r>
    </w:p>
    <w:p>
      <w:pPr>
        <w:pStyle w:val="Heading1"/>
        <w:pageBreakBefore w:val="0"/>
      </w:pPr>
      <w:r>
        <w:t>BCS : règlement borné financé par sponsor</w:t>
      </w:r>
    </w:p>
    <w:p>
      <w:pPr>
        <w:spacing w:after="140" w:line="307" w:lineRule="auto"/>
      </w:pPr>
      <w:r>
        <w:rPr>
          <w:rFonts w:ascii="Arial" w:hAnsi="Arial" w:eastAsia="Arial"/>
          <w:color w:val="162019"/>
          <w:sz w:val="20"/>
        </w:rPr>
        <w:t>Bounded Campaign Settlement (BCS) est un module indépendant destiné à financer et régler une campagne limitée. Un sponsor dépose à l'avance un actif ERC-20 approuvé. Le contrat sépare le principal destiné aux contributeurs, les frais explicitement annoncés et les réserves autorisées. Les récompenses additionnelles éventuelles ne peuvent provenir que de la fraction écosystème de frais déjà accumulés et sont plafonnées.</w:t>
      </w:r>
    </w:p>
    <w:p>
      <w:pPr>
        <w:keepNext/>
        <w:spacing w:before="0" w:after="0" w:line="20" w:lineRule="exact"/>
      </w:pPr>
      <w:r>
        <w:rPr>
          <w:rFonts w:ascii="Arial" w:hAnsi="Arial" w:eastAsia="Arial"/>
          <w:color w:val="FFFFFF"/>
          <w:sz w:val="2"/>
        </w:rPr>
        <w:t xml:space="preserve"> </w:t>
      </w:r>
    </w:p>
    <w:p>
      <w:pPr>
        <w:pStyle w:val="Heading2"/>
      </w:pPr>
      <w:r>
        <w:t>Flux économique</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1850"/>
        <w:gridCol w:w="1950"/>
        <w:gridCol w:w="2950"/>
        <w:gridCol w:w="2750"/>
      </w:tblGrid>
      <w:tr>
        <w:trPr>
          <w:tblHeader w:val="true"/>
          <w:cantSplit/>
        </w:trPr>
        <w:tc>
          <w:tcPr>
            <w:tcW w:type="dxa" w:w="18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1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Entrée</w:t>
            </w:r>
          </w:p>
        </w:tc>
        <w:tc>
          <w:tcPr>
            <w:tcW w:type="dxa" w:w="2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Transformation</w:t>
            </w:r>
          </w:p>
        </w:tc>
        <w:tc>
          <w:tcPr>
            <w:tcW w:type="dxa" w:w="2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Création</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Paramètres, dates, plafond, actif approuvé</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Validation et gel de la campagne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Identifiant et règles</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Financement</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Dépôt du sponsor</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Séparation escrow / frais</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Capacité de paiement bornée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Éligibilité</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Racine ou reçus vérifiables</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anti-double-claim</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Droits individuels</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Réclamation</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d'éligibilité</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Vérification et comptabilisation</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Paiement au contributeur</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Frais</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Frais divulgués</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Répartition sous caps</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Opérations / urgence / écosystème</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Matching</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Réserve écosystème disponible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Budget plafonné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Complément limité, jamais inflationniste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Solde résiduel</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 de remboursement préétablie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Sponsor / destination autorisée</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Contraintes BCS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VERIDIA n'est pas imposé comme actif de règlement ; un stablecoin ou autre ERC-20 approuvé peut être plus cohérent avec la budgétisation du sponsor.</w:t>
      </w:r>
    </w:p>
    <w:p>
      <w:pPr>
        <w:numPr>
          <w:ilvl w:val="0"/>
          <w:numId w:val="16"/>
        </w:numPr>
        <w:spacing w:after="80" w:line="283" w:lineRule="auto"/>
      </w:pPr>
      <w:r>
        <w:rPr>
          <w:rFonts w:ascii="Arial" w:hAnsi="Arial" w:eastAsia="Arial"/>
          <w:color w:val="162019"/>
          <w:sz w:val="20"/>
        </w:rPr>
        <w:t>Aucun paiement contributeur ne dépend de l'arrivée de nouveaux participants.</w:t>
      </w:r>
    </w:p>
    <w:p>
      <w:pPr>
        <w:numPr>
          <w:ilvl w:val="0"/>
          <w:numId w:val="16"/>
        </w:numPr>
        <w:spacing w:after="80" w:line="283" w:lineRule="auto"/>
      </w:pPr>
      <w:r>
        <w:rPr>
          <w:rFonts w:ascii="Arial" w:hAnsi="Arial" w:eastAsia="Arial"/>
          <w:color w:val="162019"/>
          <w:sz w:val="20"/>
        </w:rPr>
        <w:t>L'escrow du sponsor ne peut pas être redirigé par la trésorerie ou la gouvernance.</w:t>
      </w:r>
    </w:p>
    <w:p>
      <w:pPr>
        <w:numPr>
          <w:ilvl w:val="0"/>
          <w:numId w:val="16"/>
        </w:numPr>
        <w:spacing w:after="80" w:line="283" w:lineRule="auto"/>
      </w:pPr>
      <w:r>
        <w:rPr>
          <w:rFonts w:ascii="Arial" w:hAnsi="Arial" w:eastAsia="Arial"/>
          <w:color w:val="162019"/>
          <w:sz w:val="20"/>
        </w:rPr>
        <w:t>Aucune racine d'éligibilité ne doit multiplier les droits par simple multiplication d'adresses ; un reçu non réutilisable ou une politique d'identité est nécessaire.</w:t>
      </w:r>
    </w:p>
    <w:p>
      <w:pPr>
        <w:numPr>
          <w:ilvl w:val="0"/>
          <w:numId w:val="16"/>
        </w:numPr>
        <w:spacing w:after="80" w:line="283" w:lineRule="auto"/>
      </w:pPr>
      <w:r>
        <w:rPr>
          <w:rFonts w:ascii="Arial" w:hAnsi="Arial" w:eastAsia="Arial"/>
          <w:color w:val="162019"/>
          <w:sz w:val="20"/>
        </w:rPr>
        <w:t>Les remboursements, litiges, dates de claim et responsabilités doivent être définis avant financement.</w:t>
      </w:r>
    </w:p>
    <w:p>
      <w:pPr>
        <w:numPr>
          <w:ilvl w:val="0"/>
          <w:numId w:val="16"/>
        </w:numPr>
        <w:spacing w:after="80" w:line="283" w:lineRule="auto"/>
      </w:pPr>
      <w:r>
        <w:rPr>
          <w:rFonts w:ascii="Arial" w:hAnsi="Arial" w:eastAsia="Arial"/>
          <w:color w:val="162019"/>
          <w:sz w:val="20"/>
        </w:rPr>
        <w:t>Un éventuel bond VERIDIA reste bloqué tant que faute, preuve, resolver, slashing et remède aux faux positifs ne sont pas déterministes.</w:t>
      </w:r>
    </w:p>
    <w:p>
      <w:pPr>
        <w:keepNext/>
        <w:spacing w:before="440" w:after="100"/>
      </w:pPr>
      <w:r>
        <w:rPr>
          <w:rFonts w:ascii="Arial" w:hAnsi="Arial" w:eastAsia="Arial"/>
          <w:b/>
          <w:color w:val="C6A15B"/>
          <w:sz w:val="16"/>
        </w:rPr>
        <w:t>CHAPITRE 06</w:t>
      </w:r>
    </w:p>
    <w:p>
      <w:pPr>
        <w:pStyle w:val="Heading1"/>
        <w:pageBreakBefore w:val="0"/>
      </w:pPr>
      <w:r>
        <w:t>Proof-of-Reality : R&amp;D physique</w:t>
      </w:r>
    </w:p>
    <w:p>
      <w:pPr>
        <w:spacing w:after="140" w:line="307" w:lineRule="auto"/>
      </w:pPr>
      <w:r>
        <w:rPr>
          <w:rFonts w:ascii="Arial" w:hAnsi="Arial" w:eastAsia="Arial"/>
          <w:color w:val="162019"/>
          <w:sz w:val="20"/>
        </w:rPr>
        <w:t>La vision initiale de VERIDIA inclut la preuve d'événements du monde physique par des équipements à racine matérielle de confiance. Ce chantier reste pertinent pour l'aéronautique, la pharmacie, l'énergie, l'automobile, la logistique, l'assurance, la finance et les opérations orbitales. Il ne doit cependant pas être présenté comme une capacité production tant que l'identité matérielle, la calibration, la chaîne de possession et la résistance à la collusion ne sont pas établies.</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Fonction cible</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Exigence avant pilote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Dispositif</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Mesure et signature locale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Secure element, clé non exportable, identité et rotation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Capteur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Observation physique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Calibration, tolérance, dérive, maintenance, horodatage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Transmission et contexte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Authentification mutuelle, anti-rejeu, journal inviolable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Corrélation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Comparer plusieurs sources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Diversité réelle des domaines de confiance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Score de confiance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Décomposer qualité, accord, fraîcheur et réputation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Formule publique, explicable et non assimilée à une vérité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Proof Certificate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Résumer les preuves et la politique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Schéma versionné, révocation, liens vers preuves hors chaîne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Ancrage on-chain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Intégrité et ordre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Minimisation des données, finalité, coût et rétention</w:t>
            </w:r>
          </w:p>
        </w:tc>
      </w:tr>
    </w:tbl>
    <w:p>
      <w:pPr>
        <w:spacing w:after="40"/>
      </w:pPr>
    </w:p>
    <w:p>
      <w:pPr>
        <w:spacing w:after="140" w:line="307" w:lineRule="auto"/>
      </w:pPr>
      <w:r>
        <w:rPr>
          <w:rFonts w:ascii="Arial" w:hAnsi="Arial" w:eastAsia="Arial"/>
          <w:color w:val="162019"/>
          <w:sz w:val="20"/>
        </w:rPr>
        <w:t>Le démonstrateur historique VRD-000001 / VRD-000002 illustre deux mesures de température signées et corrélées. Il doit rester étiqueté « TESTNET / SIMULATION » : deux valeurs proches ne prouvent ni la calibration, ni l'indépendance des appareils, ni l'absence de manipulation du milieu.</w:t>
      </w:r>
    </w:p>
    <w:p>
      <w:pPr>
        <w:keepNext/>
        <w:spacing w:before="440" w:after="100"/>
      </w:pPr>
      <w:r>
        <w:rPr>
          <w:rFonts w:ascii="Arial" w:hAnsi="Arial" w:eastAsia="Arial"/>
          <w:b/>
          <w:color w:val="C6A15B"/>
          <w:sz w:val="16"/>
        </w:rPr>
        <w:t>CHAPITRE 07</w:t>
      </w:r>
    </w:p>
    <w:p>
      <w:pPr>
        <w:pStyle w:val="Heading1"/>
        <w:pageBreakBefore w:val="0"/>
      </w:pPr>
      <w:r>
        <w:t>Socle logiciel, données et intégrations</w:t>
      </w:r>
    </w:p>
    <w:p>
      <w:pPr>
        <w:keepNext/>
        <w:spacing w:before="0" w:after="0" w:line="20" w:lineRule="exact"/>
      </w:pPr>
      <w:r>
        <w:rPr>
          <w:rFonts w:ascii="Arial" w:hAnsi="Arial" w:eastAsia="Arial"/>
          <w:color w:val="FFFFFF"/>
          <w:sz w:val="2"/>
        </w:rPr>
        <w:t xml:space="preserve"> </w:t>
      </w:r>
    </w:p>
    <w:p>
      <w:pPr>
        <w:pStyle w:val="Heading2"/>
      </w:pPr>
      <w:r>
        <w:t>Composants observés dans les rapports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2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Technologie / artefact</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Positionnement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Monorepo</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pnpm ; Node.js &gt;= 20.11</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Outillage et builds multi-applications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Solidity ; Hardhat ; Foundry</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Tests unitaires, fuzz, invariants et analyse statique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Frontends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Next.js 16.3.3</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Portail web et console d'administration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Backend</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API TypeScript / moteur ALPHA</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Validation, politiques et orchestration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Prisma / base transactionnelle prévue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Persistance durable encore à implémenter pour ALPHA</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Lecture EVM canonique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Ordre, identité d'événement, reorg et reprise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Simulation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Moteur économique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Sensibilités abstraites, pas de prévision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Testnet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EVM ; chain ID 84532 ; ETH de test</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Partition on-chain / off-chain</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On-chain</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Off-chain</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Raison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Identifiants, hashes, versions, timestamps, événements et caps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brutes, documents, logs détaillés, secrets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confidentialité et minimisation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Supply, vesting, votes, timelock, budgets autorisés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Analyse, monitoring, alertes et investigations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Séparer exécution déterministe et opérations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canonique des engagements autorisés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Authentification, collecte, stockage et reprise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 chaîne ne remplace pas une architecture SRE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Règlements préfinancés et claims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KYC/AML, contrats, facturation, support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Obligations réglementaires et relation client</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Schéma minimal de Proof Certificate</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certificateId, schemaVersion, policyVersion et environnement ;</w:t>
      </w:r>
    </w:p>
    <w:p>
      <w:pPr>
        <w:numPr>
          <w:ilvl w:val="0"/>
          <w:numId w:val="16"/>
        </w:numPr>
        <w:spacing w:after="80" w:line="283" w:lineRule="auto"/>
      </w:pPr>
      <w:r>
        <w:rPr>
          <w:rFonts w:ascii="Arial" w:hAnsi="Arial" w:eastAsia="Arial"/>
          <w:color w:val="162019"/>
          <w:sz w:val="20"/>
        </w:rPr>
        <w:t>chainId, contract cible, engagementHash, requestId et providerId ;</w:t>
      </w:r>
    </w:p>
    <w:p>
      <w:pPr>
        <w:numPr>
          <w:ilvl w:val="0"/>
          <w:numId w:val="16"/>
        </w:numPr>
        <w:spacing w:after="80" w:line="283" w:lineRule="auto"/>
      </w:pPr>
      <w:r>
        <w:rPr>
          <w:rFonts w:ascii="Arial" w:hAnsi="Arial" w:eastAsia="Arial"/>
          <w:color w:val="162019"/>
          <w:sz w:val="20"/>
        </w:rPr>
        <w:t>fenêtre temporelle, block range, confirmations et statut de finalité ;</w:t>
      </w:r>
    </w:p>
    <w:p>
      <w:pPr>
        <w:numPr>
          <w:ilvl w:val="0"/>
          <w:numId w:val="16"/>
        </w:numPr>
        <w:spacing w:after="80" w:line="283" w:lineRule="auto"/>
      </w:pPr>
      <w:r>
        <w:rPr>
          <w:rFonts w:ascii="Arial" w:hAnsi="Arial" w:eastAsia="Arial"/>
          <w:color w:val="162019"/>
          <w:sz w:val="20"/>
        </w:rPr>
        <w:t>liste des evidenceIds, domaines de confiance et signatures ;</w:t>
      </w:r>
    </w:p>
    <w:p>
      <w:pPr>
        <w:numPr>
          <w:ilvl w:val="0"/>
          <w:numId w:val="16"/>
        </w:numPr>
        <w:spacing w:after="80" w:line="283" w:lineRule="auto"/>
      </w:pPr>
      <w:r>
        <w:rPr>
          <w:rFonts w:ascii="Arial" w:hAnsi="Arial" w:eastAsia="Arial"/>
          <w:color w:val="162019"/>
          <w:sz w:val="20"/>
        </w:rPr>
        <w:t>résultat, exclusions appliquées, niveau de confiance décomposé et raisons ;</w:t>
      </w:r>
    </w:p>
    <w:p>
      <w:pPr>
        <w:numPr>
          <w:ilvl w:val="0"/>
          <w:numId w:val="16"/>
        </w:numPr>
        <w:spacing w:after="80" w:line="283" w:lineRule="auto"/>
      </w:pPr>
      <w:r>
        <w:rPr>
          <w:rFonts w:ascii="Arial" w:hAnsi="Arial" w:eastAsia="Arial"/>
          <w:color w:val="162019"/>
          <w:sz w:val="20"/>
        </w:rPr>
        <w:t>hash des données hors chaîne, emplacement autorisé et politique de rétention ;</w:t>
      </w:r>
    </w:p>
    <w:p>
      <w:pPr>
        <w:numPr>
          <w:ilvl w:val="0"/>
          <w:numId w:val="16"/>
        </w:numPr>
        <w:spacing w:after="80" w:line="283" w:lineRule="auto"/>
      </w:pPr>
      <w:r>
        <w:rPr>
          <w:rFonts w:ascii="Arial" w:hAnsi="Arial" w:eastAsia="Arial"/>
          <w:color w:val="162019"/>
          <w:sz w:val="20"/>
        </w:rPr>
        <w:t>date de création, mécanisme de révocation ou de supersession, et version précédente.</w:t>
      </w:r>
    </w:p>
    <w:p>
      <w:pPr>
        <w:keepNext/>
        <w:spacing w:before="440" w:after="100"/>
      </w:pPr>
      <w:r>
        <w:rPr>
          <w:rFonts w:ascii="Arial" w:hAnsi="Arial" w:eastAsia="Arial"/>
          <w:b/>
          <w:color w:val="C6A15B"/>
          <w:sz w:val="16"/>
        </w:rPr>
        <w:t>CHAPITRE 08</w:t>
      </w:r>
    </w:p>
    <w:p>
      <w:pPr>
        <w:pStyle w:val="Heading1"/>
        <w:pageBreakBefore w:val="0"/>
      </w:pPr>
      <w:r>
        <w:t>VERIDIA : propriétés et utilité</w:t>
      </w:r>
    </w:p>
    <w:p>
      <w:pPr>
        <w:keepNext/>
        <w:spacing w:before="0" w:after="0" w:line="20" w:lineRule="exact"/>
      </w:pPr>
      <w:r>
        <w:rPr>
          <w:rFonts w:ascii="Arial" w:hAnsi="Arial" w:eastAsia="Arial"/>
          <w:color w:val="FFFFFF"/>
          <w:sz w:val="2"/>
        </w:rPr>
        <w:t xml:space="preserve"> </w:t>
      </w:r>
    </w:p>
    <w:p>
      <w:pPr>
        <w:pStyle w:val="Heading2"/>
      </w:pPr>
      <w:r>
        <w:t>Paramètres établis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Propriété</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Nom</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Ticker</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confirmer officiellement avant publication et enregistrement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Standard</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ERC-20 / votes selon l'implémentation Phase 1 ; ABI finale à annexer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Supply maximale</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1 000 000 000 unités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Mint futur</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Interdit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Inflation</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Burn arbitraire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mécanisme discrétionnaire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Taxe de transfert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Rendement automatique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APY ou dividende promis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Partage des revenus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droit des détenteurs sur les frais ou bénéfices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Prix / liquidité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fixé, non garanti, aucune prévision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Allocation / circulation</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approuvées ; doivent faire l'objet d'une décision séparée et d'un avis juridique</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Utilité admise, conditionnelle et interdite</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Catégorie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Position actuelle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Admises sous limites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Pouvoirs explicitement bornés, snapshots, quorum, timelock et transparence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Signal d'engagement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Recherche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doit pas remplacer l'identité ou créer un privilège économique sans valeur indépendante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Collatéral ALPHA</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Bloqué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Seulement si faute déterministe, meilleure couverture que les substituts et résistance au choc de prix</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Paiement ALPHA / BCS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requis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Actif de règlement approuvé choisi selon risque et besoin client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Récompenses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Bornées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Uniquement depuis une source de frais existante ; aucune inflation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 token-gated</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Rejeté</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pas fabriquer la demande par une barrière artificielle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Yield / fee share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Interdit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APY, dividende ou promesse de revenu</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Price support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Interdit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rachat, floor, burn marketing ou garantie de liquidité</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Test de nécessité du token</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Tout rôle proposé pour VERIDIA est évalué sur une échelle de 0 à 10. Une note inférieure à 6 interdit son adoption comme dépendance du cœur. BCS obtient historiquement 2/10, ALPHA 4/10, BETA 1/10 et GAMMA 3/10. Ces notes sont des jugements de conception, pas des mesures de marché.</w:t>
      </w:r>
    </w:p>
    <w:p>
      <w:pPr>
        <w:numPr>
          <w:ilvl w:val="0"/>
          <w:numId w:val="19"/>
        </w:numPr>
        <w:spacing w:after="80" w:line="283" w:lineRule="auto"/>
      </w:pPr>
      <w:r>
        <w:rPr>
          <w:rFonts w:ascii="Arial" w:hAnsi="Arial" w:eastAsia="Arial"/>
          <w:color w:val="162019"/>
          <w:sz w:val="20"/>
        </w:rPr>
        <w:t>Retrait : la fonctionnalité disparaît-elle réellement si VERIDIA est retiré ?</w:t>
      </w:r>
    </w:p>
    <w:p>
      <w:pPr>
        <w:numPr>
          <w:ilvl w:val="0"/>
          <w:numId w:val="19"/>
        </w:numPr>
        <w:spacing w:after="80" w:line="283" w:lineRule="auto"/>
      </w:pPr>
      <w:r>
        <w:rPr>
          <w:rFonts w:ascii="Arial" w:hAnsi="Arial" w:eastAsia="Arial"/>
          <w:color w:val="162019"/>
          <w:sz w:val="20"/>
        </w:rPr>
        <w:t>Substitution : ETH, stable collateral, réputation, assurance, contrat ou registre permissionné reproduisent-ils la propriété ?</w:t>
      </w:r>
    </w:p>
    <w:p>
      <w:pPr>
        <w:numPr>
          <w:ilvl w:val="0"/>
          <w:numId w:val="19"/>
        </w:numPr>
        <w:spacing w:after="80" w:line="283" w:lineRule="auto"/>
      </w:pPr>
      <w:r>
        <w:rPr>
          <w:rFonts w:ascii="Arial" w:hAnsi="Arial" w:eastAsia="Arial"/>
          <w:color w:val="162019"/>
          <w:sz w:val="20"/>
        </w:rPr>
        <w:t>Objectivité : une faute peut-elle être prouvée sans vote subjectif ?</w:t>
      </w:r>
    </w:p>
    <w:p>
      <w:pPr>
        <w:numPr>
          <w:ilvl w:val="0"/>
          <w:numId w:val="19"/>
        </w:numPr>
        <w:spacing w:after="80" w:line="283" w:lineRule="auto"/>
      </w:pPr>
      <w:r>
        <w:rPr>
          <w:rFonts w:ascii="Arial" w:hAnsi="Arial" w:eastAsia="Arial"/>
          <w:color w:val="162019"/>
          <w:sz w:val="20"/>
        </w:rPr>
        <w:t>Choc de prix : la sécurité reste-t-elle suffisante après -50 %, -80 % et -95 % ?</w:t>
      </w:r>
    </w:p>
    <w:p>
      <w:pPr>
        <w:numPr>
          <w:ilvl w:val="0"/>
          <w:numId w:val="19"/>
        </w:numPr>
        <w:spacing w:after="80" w:line="283" w:lineRule="auto"/>
      </w:pPr>
      <w:r>
        <w:rPr>
          <w:rFonts w:ascii="Arial" w:hAnsi="Arial" w:eastAsia="Arial"/>
          <w:color w:val="162019"/>
          <w:sz w:val="20"/>
        </w:rPr>
        <w:t>Zéro spéculation : le système reste-t-il utile sans nouvel acheteur spéculatif ?</w:t>
      </w:r>
    </w:p>
    <w:p>
      <w:pPr>
        <w:numPr>
          <w:ilvl w:val="0"/>
          <w:numId w:val="19"/>
        </w:numPr>
        <w:spacing w:after="80" w:line="283" w:lineRule="auto"/>
      </w:pPr>
      <w:r>
        <w:rPr>
          <w:rFonts w:ascii="Arial" w:hAnsi="Arial" w:eastAsia="Arial"/>
          <w:color w:val="162019"/>
          <w:sz w:val="20"/>
        </w:rPr>
        <w:t>Concentration : que se passe-t-il à 1 %, 5 %, 10 %, 25 % et 50 % de détention ?</w:t>
      </w:r>
    </w:p>
    <w:p>
      <w:pPr>
        <w:numPr>
          <w:ilvl w:val="0"/>
          <w:numId w:val="19"/>
        </w:numPr>
        <w:spacing w:after="80" w:line="283" w:lineRule="auto"/>
      </w:pPr>
      <w:r>
        <w:rPr>
          <w:rFonts w:ascii="Arial" w:hAnsi="Arial" w:eastAsia="Arial"/>
          <w:color w:val="162019"/>
          <w:sz w:val="20"/>
        </w:rPr>
        <w:t>Conformité et UX : l'actif apporte-t-il plus de valeur que de friction, de liquidité et de risque juridique ?</w:t>
      </w:r>
    </w:p>
    <w:p>
      <w:pPr>
        <w:keepNext/>
        <w:spacing w:before="440" w:after="100"/>
      </w:pPr>
      <w:r>
        <w:rPr>
          <w:rFonts w:ascii="Arial" w:hAnsi="Arial" w:eastAsia="Arial"/>
          <w:b/>
          <w:color w:val="C6A15B"/>
          <w:sz w:val="16"/>
        </w:rPr>
        <w:t>CHAPITRE 09</w:t>
      </w:r>
    </w:p>
    <w:p>
      <w:pPr>
        <w:pStyle w:val="Heading1"/>
        <w:pageBreakBefore w:val="0"/>
      </w:pPr>
      <w:r>
        <w:t>Modèle économique</w:t>
      </w:r>
    </w:p>
    <w:p>
      <w:pPr>
        <w:keepNext/>
        <w:spacing w:before="0" w:after="0" w:line="20" w:lineRule="exact"/>
      </w:pPr>
      <w:r>
        <w:rPr>
          <w:rFonts w:ascii="Arial" w:hAnsi="Arial" w:eastAsia="Arial"/>
          <w:color w:val="FFFFFF"/>
          <w:sz w:val="2"/>
        </w:rPr>
        <w:t xml:space="preserve"> </w:t>
      </w:r>
    </w:p>
    <w:p>
      <w:pPr>
        <w:pStyle w:val="Heading2"/>
      </w:pPr>
      <w:r>
        <w:t>Sources de revenus permises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1850"/>
        <w:gridCol w:w="1950"/>
        <w:gridCol w:w="2950"/>
        <w:gridCol w:w="2750"/>
      </w:tblGrid>
      <w:tr>
        <w:trPr>
          <w:tblHeader w:val="true"/>
          <w:cantSplit/>
        </w:trPr>
        <w:tc>
          <w:tcPr>
            <w:tcW w:type="dxa" w:w="18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Produit</w:t>
            </w:r>
          </w:p>
        </w:tc>
        <w:tc>
          <w:tcPr>
            <w:tcW w:type="dxa" w:w="1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Payeur</w:t>
            </w:r>
          </w:p>
        </w:tc>
        <w:tc>
          <w:tcPr>
            <w:tcW w:type="dxa" w:w="2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Service</w:t>
            </w:r>
          </w:p>
        </w:tc>
        <w:tc>
          <w:tcPr>
            <w:tcW w:type="dxa" w:w="27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Recette possible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Protocole, DAO ou opérateur de smart account</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Garantie bornée d'une action on-chain</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Frais de service / garantie divulgués</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BCS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Sponsor de campagne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Escrow, éligibilité, claims et reporting</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Frais de campagne divulgués</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API / entreprise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Client intégré</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SLA, webhooks, export, contrôle et support</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Abonnement ou usage</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Intégrations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Client / partenaire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Adaptateurs, onboarding et personnalisation</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Frais d'implémentation</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Proof-of-Reality</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Industriel pilote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Matériel, collecte, preuve et certification</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Pilote puis licence / service, à valider</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Équations de conservation</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Pour BCS, si F est le total des frais, C le coût d'exploitation, f le taux de frais sur le volume sponsorisé et o la part des frais affectée aux opérations, le volume abstrait nécessaire au seuil d'équilibre s'écrit :</w:t>
      </w:r>
    </w:p>
    <w:p>
      <w:pPr>
        <w:spacing w:after="140" w:line="307" w:lineRule="auto"/>
      </w:pPr>
      <w:r>
        <w:rPr>
          <w:rFonts w:ascii="Arial" w:hAnsi="Arial" w:eastAsia="Arial"/>
          <w:b/>
          <w:color w:val="162019"/>
          <w:sz w:val="20"/>
        </w:rPr>
        <w:t>Volume_seuil = C / (f × o)</w:t>
      </w:r>
    </w:p>
    <w:p>
      <w:pPr>
        <w:spacing w:after="140" w:line="307" w:lineRule="auto"/>
      </w:pPr>
      <w:r>
        <w:rPr>
          <w:rFonts w:ascii="Arial" w:hAnsi="Arial" w:eastAsia="Arial"/>
          <w:color w:val="162019"/>
          <w:sz w:val="20"/>
        </w:rPr>
        <w:t>Cette équation est une identité de sensibilité, pas une prévision. Aucun coût, taux ou volume n'est fixé tant qu'un workflow client réel n'est pas observé. Le modèle doit également vérifier à chaque instant que les obligations de paiement et de remboursement restent inférieures ou égales aux actifs effectivement disponibles dans le registre correspondant.</w:t>
      </w:r>
    </w:p>
    <w:p>
      <w:pPr>
        <w:numPr>
          <w:ilvl w:val="0"/>
          <w:numId w:val="16"/>
        </w:numPr>
        <w:spacing w:after="80" w:line="283" w:lineRule="auto"/>
      </w:pPr>
      <w:r>
        <w:rPr>
          <w:rFonts w:ascii="Arial" w:hAnsi="Arial" w:eastAsia="Arial"/>
          <w:color w:val="162019"/>
          <w:sz w:val="20"/>
        </w:rPr>
        <w:t>escrow sponsor disponible ≥ claims non payés + remboursements dus ;</w:t>
      </w:r>
    </w:p>
    <w:p>
      <w:pPr>
        <w:numPr>
          <w:ilvl w:val="0"/>
          <w:numId w:val="16"/>
        </w:numPr>
        <w:spacing w:after="80" w:line="283" w:lineRule="auto"/>
      </w:pPr>
      <w:r>
        <w:rPr>
          <w:rFonts w:ascii="Arial" w:hAnsi="Arial" w:eastAsia="Arial"/>
          <w:color w:val="162019"/>
          <w:sz w:val="20"/>
        </w:rPr>
        <w:t>réserve écosystème disponible ≥ matching engagé mais non payé ;</w:t>
      </w:r>
    </w:p>
    <w:p>
      <w:pPr>
        <w:numPr>
          <w:ilvl w:val="0"/>
          <w:numId w:val="16"/>
        </w:numPr>
        <w:spacing w:after="80" w:line="283" w:lineRule="auto"/>
      </w:pPr>
      <w:r>
        <w:rPr>
          <w:rFonts w:ascii="Arial" w:hAnsi="Arial" w:eastAsia="Arial"/>
          <w:color w:val="162019"/>
          <w:sz w:val="20"/>
        </w:rPr>
        <w:t>collatéral individuel disponible ≥ remède maximal accepté, si un bond est un jour autorisé ;</w:t>
      </w:r>
    </w:p>
    <w:p>
      <w:pPr>
        <w:numPr>
          <w:ilvl w:val="0"/>
          <w:numId w:val="16"/>
        </w:numPr>
        <w:spacing w:after="80" w:line="283" w:lineRule="auto"/>
      </w:pPr>
      <w:r>
        <w:rPr>
          <w:rFonts w:ascii="Arial" w:hAnsi="Arial" w:eastAsia="Arial"/>
          <w:color w:val="162019"/>
          <w:sz w:val="20"/>
        </w:rPr>
        <w:t>trésorerie libre exclut tous les fonds affectés, escrows et collatéraux ;</w:t>
      </w:r>
    </w:p>
    <w:p>
      <w:pPr>
        <w:numPr>
          <w:ilvl w:val="0"/>
          <w:numId w:val="16"/>
        </w:numPr>
        <w:spacing w:after="80" w:line="283" w:lineRule="auto"/>
      </w:pPr>
      <w:r>
        <w:rPr>
          <w:rFonts w:ascii="Arial" w:hAnsi="Arial" w:eastAsia="Arial"/>
          <w:color w:val="162019"/>
          <w:sz w:val="20"/>
        </w:rPr>
        <w:t>aucune récompense ne dépend d'une hypothèse de prix, de croissance ou de dépôt futur.</w:t>
      </w:r>
    </w:p>
    <w:p>
      <w:pPr>
        <w:keepNext/>
        <w:spacing w:before="0" w:after="0" w:line="20" w:lineRule="exact"/>
      </w:pPr>
      <w:r>
        <w:rPr>
          <w:rFonts w:ascii="Arial" w:hAnsi="Arial" w:eastAsia="Arial"/>
          <w:color w:val="FFFFFF"/>
          <w:sz w:val="2"/>
        </w:rPr>
        <w:t xml:space="preserve"> </w:t>
      </w:r>
    </w:p>
    <w:p>
      <w:pPr>
        <w:pStyle w:val="Heading2"/>
      </w:pPr>
      <w:r>
        <w:t>Unit economics à mesurer</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Métrique</w:t>
            </w:r>
          </w:p>
        </w:tc>
        <w:tc>
          <w:tcPr>
            <w:tcW w:type="dxa" w:w="2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Formule / définition</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Seuil à définir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Marge brute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Revenu de service - coûts directs chaîne, RPC, stockage, monitoring et support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Positive par cohorte pilote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par obligation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Coûts variables / obligations traitées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Inférieur au revenu unitaire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Taux de succès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Obligations SUCCESS / obligations éligibles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 template, chaîne et fournisseur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Faux positifs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Provider fault invalidés / classifications provider fault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Proche de zéro ; seuil bloquant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 de résolution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Clôture - deadline ou incident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Compatible avec valeur client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Rétention sponsor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Sponsors renouvelés / sponsors éligibles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de valeur récurrente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Coût d'intégration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 et frais jusqu'au premier engagement valide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Doit baisser par template</w:t>
            </w:r>
          </w:p>
        </w:tc>
      </w:tr>
    </w:tbl>
    <w:p>
      <w:pPr>
        <w:spacing w:after="40"/>
      </w:pPr>
    </w:p>
    <w:p>
      <w:pPr>
        <w:keepNext/>
        <w:spacing w:before="440" w:after="100"/>
      </w:pPr>
      <w:r>
        <w:rPr>
          <w:rFonts w:ascii="Arial" w:hAnsi="Arial" w:eastAsia="Arial"/>
          <w:b/>
          <w:color w:val="C6A15B"/>
          <w:sz w:val="16"/>
        </w:rPr>
        <w:t>CHAPITRE 10</w:t>
      </w:r>
    </w:p>
    <w:p>
      <w:pPr>
        <w:pStyle w:val="Heading1"/>
        <w:pageBreakBefore w:val="0"/>
      </w:pPr>
      <w:r>
        <w:t>Gouvernance et trésorerie</w:t>
      </w:r>
    </w:p>
    <w:p>
      <w:pPr>
        <w:spacing w:after="140" w:line="307" w:lineRule="auto"/>
      </w:pPr>
      <w:r>
        <w:rPr>
          <w:rFonts w:ascii="Arial" w:hAnsi="Arial" w:eastAsia="Arial"/>
          <w:color w:val="162019"/>
          <w:sz w:val="20"/>
        </w:rPr>
        <w:t>La Phase 1 prévoit un système Governor / Timelock. La gouvernance doit être considérée comme un mécanisme de contrôle lent et transparent, non comme une preuve de décentralisation. Tant que la distribution n'est pas définie et que les détenteurs actifs ne sont pas observés, la concentration et l'apathie sont des risques centraux.</w:t>
      </w:r>
    </w:p>
    <w:p>
      <w:pPr>
        <w:keepNext/>
        <w:spacing w:before="0" w:after="0" w:line="20" w:lineRule="exact"/>
      </w:pPr>
      <w:r>
        <w:rPr>
          <w:rFonts w:ascii="Arial" w:hAnsi="Arial" w:eastAsia="Arial"/>
          <w:color w:val="FFFFFF"/>
          <w:sz w:val="2"/>
        </w:rPr>
        <w:t xml:space="preserve"> </w:t>
      </w:r>
    </w:p>
    <w:p>
      <w:pPr>
        <w:pStyle w:val="Heading2"/>
      </w:pPr>
      <w:r>
        <w:t>Pouvoirs autorisables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ajouter ou retirer un actif de règlement après revue technique, juridique et risque ;</w:t>
      </w:r>
    </w:p>
    <w:p>
      <w:pPr>
        <w:numPr>
          <w:ilvl w:val="0"/>
          <w:numId w:val="16"/>
        </w:numPr>
        <w:spacing w:after="80" w:line="283" w:lineRule="auto"/>
      </w:pPr>
      <w:r>
        <w:rPr>
          <w:rFonts w:ascii="Arial" w:hAnsi="Arial" w:eastAsia="Arial"/>
          <w:color w:val="162019"/>
          <w:sz w:val="20"/>
        </w:rPr>
        <w:t>activer un template d'action préaudité ;</w:t>
      </w:r>
    </w:p>
    <w:p>
      <w:pPr>
        <w:numPr>
          <w:ilvl w:val="0"/>
          <w:numId w:val="16"/>
        </w:numPr>
        <w:spacing w:after="80" w:line="283" w:lineRule="auto"/>
      </w:pPr>
      <w:r>
        <w:rPr>
          <w:rFonts w:ascii="Arial" w:hAnsi="Arial" w:eastAsia="Arial"/>
          <w:color w:val="162019"/>
          <w:sz w:val="20"/>
        </w:rPr>
        <w:t>choisir des frais et caps à l'intérieur de bornes immuables ;</w:t>
      </w:r>
    </w:p>
    <w:p>
      <w:pPr>
        <w:numPr>
          <w:ilvl w:val="0"/>
          <w:numId w:val="16"/>
        </w:numPr>
        <w:spacing w:after="80" w:line="283" w:lineRule="auto"/>
      </w:pPr>
      <w:r>
        <w:rPr>
          <w:rFonts w:ascii="Arial" w:hAnsi="Arial" w:eastAsia="Arial"/>
          <w:color w:val="162019"/>
          <w:sz w:val="20"/>
        </w:rPr>
        <w:t>allouer un budget de trésorerie dans un module préautorisé ;</w:t>
      </w:r>
    </w:p>
    <w:p>
      <w:pPr>
        <w:numPr>
          <w:ilvl w:val="0"/>
          <w:numId w:val="16"/>
        </w:numPr>
        <w:spacing w:after="80" w:line="283" w:lineRule="auto"/>
      </w:pPr>
      <w:r>
        <w:rPr>
          <w:rFonts w:ascii="Arial" w:hAnsi="Arial" w:eastAsia="Arial"/>
          <w:color w:val="162019"/>
          <w:sz w:val="20"/>
        </w:rPr>
        <w:t>mettre en pause une fonctionnalité nouvelle selon un mécanisme d'urgence documenté ;</w:t>
      </w:r>
    </w:p>
    <w:p>
      <w:pPr>
        <w:numPr>
          <w:ilvl w:val="0"/>
          <w:numId w:val="16"/>
        </w:numPr>
        <w:spacing w:after="80" w:line="283" w:lineRule="auto"/>
      </w:pPr>
      <w:r>
        <w:rPr>
          <w:rFonts w:ascii="Arial" w:hAnsi="Arial" w:eastAsia="Arial"/>
          <w:color w:val="162019"/>
          <w:sz w:val="20"/>
        </w:rPr>
        <w:t>nommer ou révoquer des rôles opérationnels après délai et journalisation.</w:t>
      </w:r>
    </w:p>
    <w:p>
      <w:pPr>
        <w:keepNext/>
        <w:spacing w:before="0" w:after="0" w:line="20" w:lineRule="exact"/>
      </w:pPr>
      <w:r>
        <w:rPr>
          <w:rFonts w:ascii="Arial" w:hAnsi="Arial" w:eastAsia="Arial"/>
          <w:color w:val="FFFFFF"/>
          <w:sz w:val="2"/>
        </w:rPr>
        <w:t xml:space="preserve"> </w:t>
      </w:r>
    </w:p>
    <w:p>
      <w:pPr>
        <w:pStyle w:val="Heading2"/>
      </w:pPr>
      <w:r>
        <w:t>Pouvoirs interdits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augmenter la supply maximale ou créer une émission discrétionnaire ;</w:t>
      </w:r>
    </w:p>
    <w:p>
      <w:pPr>
        <w:numPr>
          <w:ilvl w:val="0"/>
          <w:numId w:val="16"/>
        </w:numPr>
        <w:spacing w:after="80" w:line="283" w:lineRule="auto"/>
      </w:pPr>
      <w:r>
        <w:rPr>
          <w:rFonts w:ascii="Arial" w:hAnsi="Arial" w:eastAsia="Arial"/>
          <w:color w:val="162019"/>
          <w:sz w:val="20"/>
        </w:rPr>
        <w:t>saisir ou rediriger un escrow sponsor, un claim ou un collatéral ;</w:t>
      </w:r>
    </w:p>
    <w:p>
      <w:pPr>
        <w:numPr>
          <w:ilvl w:val="0"/>
          <w:numId w:val="16"/>
        </w:numPr>
        <w:spacing w:after="80" w:line="283" w:lineRule="auto"/>
      </w:pPr>
      <w:r>
        <w:rPr>
          <w:rFonts w:ascii="Arial" w:hAnsi="Arial" w:eastAsia="Arial"/>
          <w:color w:val="162019"/>
          <w:sz w:val="20"/>
        </w:rPr>
        <w:t>créer un APY, une taxe de transfert ou un partage de frais aux détenteurs ;</w:t>
      </w:r>
    </w:p>
    <w:p>
      <w:pPr>
        <w:numPr>
          <w:ilvl w:val="0"/>
          <w:numId w:val="16"/>
        </w:numPr>
        <w:spacing w:after="80" w:line="283" w:lineRule="auto"/>
      </w:pPr>
      <w:r>
        <w:rPr>
          <w:rFonts w:ascii="Arial" w:hAnsi="Arial" w:eastAsia="Arial"/>
          <w:color w:val="162019"/>
          <w:sz w:val="20"/>
        </w:rPr>
        <w:t>déclarer rétroactivement la faute d'un acteur par simple vote ;</w:t>
      </w:r>
    </w:p>
    <w:p>
      <w:pPr>
        <w:numPr>
          <w:ilvl w:val="0"/>
          <w:numId w:val="16"/>
        </w:numPr>
        <w:spacing w:after="80" w:line="283" w:lineRule="auto"/>
      </w:pPr>
      <w:r>
        <w:rPr>
          <w:rFonts w:ascii="Arial" w:hAnsi="Arial" w:eastAsia="Arial"/>
          <w:color w:val="162019"/>
          <w:sz w:val="20"/>
        </w:rPr>
        <w:t>supprimer les invariants de vesting, d'allocation, de trésorerie ou de séparation des registres ;</w:t>
      </w:r>
    </w:p>
    <w:p>
      <w:pPr>
        <w:numPr>
          <w:ilvl w:val="0"/>
          <w:numId w:val="16"/>
        </w:numPr>
        <w:spacing w:after="80" w:line="283" w:lineRule="auto"/>
      </w:pPr>
      <w:r>
        <w:rPr>
          <w:rFonts w:ascii="Arial" w:hAnsi="Arial" w:eastAsia="Arial"/>
          <w:color w:val="162019"/>
          <w:sz w:val="20"/>
        </w:rPr>
        <w:t>exécuter immédiatement une décision non urgente sans timelock ni fenêtre d'observation.</w:t>
      </w:r>
    </w:p>
    <w:p>
      <w:pPr>
        <w:keepNext/>
        <w:spacing w:before="0" w:after="0" w:line="20" w:lineRule="exact"/>
      </w:pPr>
      <w:r>
        <w:rPr>
          <w:rFonts w:ascii="Arial" w:hAnsi="Arial" w:eastAsia="Arial"/>
          <w:color w:val="FFFFFF"/>
          <w:sz w:val="2"/>
        </w:rPr>
        <w:t xml:space="preserve"> </w:t>
      </w:r>
    </w:p>
    <w:p>
      <w:pPr>
        <w:pStyle w:val="Heading2"/>
      </w:pPr>
      <w:r>
        <w:t>Progression de la gouvernance</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sortie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Testnet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Multisig / rôles identifiés, droits minimaux</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 de privilèges, simulations et alertes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Bêta limitée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Timelock + multisig opérationnel</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procédures d'urgence et diversité des signataires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 restreinte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Votes sur paramètres bornés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Distribution et participation non concentrées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Gouvernance élargie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Pouvoirs additionnels module par module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Historique sain, monitoring et capacité de réaction</w:t>
            </w:r>
          </w:p>
        </w:tc>
      </w:tr>
    </w:tbl>
    <w:p>
      <w:pPr>
        <w:spacing w:after="40"/>
      </w:pPr>
    </w:p>
    <w:p>
      <w:pPr>
        <w:keepNext/>
        <w:spacing w:before="440" w:after="100"/>
      </w:pPr>
      <w:r>
        <w:rPr>
          <w:rFonts w:ascii="Arial" w:hAnsi="Arial" w:eastAsia="Arial"/>
          <w:b/>
          <w:color w:val="C6A15B"/>
          <w:sz w:val="16"/>
        </w:rPr>
        <w:t>CHAPITRE 11</w:t>
      </w:r>
    </w:p>
    <w:p>
      <w:pPr>
        <w:pStyle w:val="Heading1"/>
        <w:pageBreakBefore w:val="0"/>
      </w:pPr>
      <w:r>
        <w:t>Sécurité, tests et opérations</w:t>
      </w:r>
    </w:p>
    <w:p>
      <w:pPr>
        <w:keepNext/>
        <w:spacing w:before="0" w:after="0" w:line="20" w:lineRule="exact"/>
      </w:pPr>
      <w:r>
        <w:rPr>
          <w:rFonts w:ascii="Arial" w:hAnsi="Arial" w:eastAsia="Arial"/>
          <w:color w:val="FFFFFF"/>
          <w:sz w:val="2"/>
        </w:rPr>
        <w:t xml:space="preserve"> </w:t>
      </w:r>
    </w:p>
    <w:p>
      <w:pPr>
        <w:pStyle w:val="Heading2"/>
      </w:pPr>
      <w:r>
        <w:t>Résultats internes déclarés — Phase 3B</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 déclaré</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Limite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Typecheck / lint / diff</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Qualité statique, pas sécurité complète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Hardhat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13 tests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Couverture exacte à relier au commit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Foundry</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20 tests PASS ; fuzz et invariants Phase 1</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 des hypothèses et harness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Backend</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14 tests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ALPHA encore en mémoire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3 tests PASS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 encore de source RPC indépendante live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Web3</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2 tests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Portée limitée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Simulateur économique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4 tests PASS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Paramètres abstraits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E2E navigateur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5 tests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Serveurs locaux, pas production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Slither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7 résultats connus revus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interne ; aucun audit tiers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Secrets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réexécuter en CI et avant release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pnpm audit --prod</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 vulnérabilité connue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ponctuel au 30 août 2026</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complet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 Critical ; 1 High dev-only accepté ; 1 Moderate ; 2 Low</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Réviser avant upgrade ou mode Mocha parallèle</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Vulnérabilités ALPHA corrigées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expiration sans preuve faussement qualifiée en faute fournisseur ; correction par quorum négatif indépendant et état finalisé ;</w:t>
      </w:r>
    </w:p>
    <w:p>
      <w:pPr>
        <w:numPr>
          <w:ilvl w:val="0"/>
          <w:numId w:val="16"/>
        </w:numPr>
        <w:spacing w:after="80" w:line="283" w:lineRule="auto"/>
      </w:pPr>
      <w:r>
        <w:rPr>
          <w:rFonts w:ascii="Arial" w:hAnsi="Arial" w:eastAsia="Arial"/>
          <w:color w:val="162019"/>
          <w:sz w:val="20"/>
        </w:rPr>
        <w:t>injection de labels de source ou de succès synthétique ; correction par collecteurs enregistrés et rejet de l'ingestion publique ;</w:t>
      </w:r>
    </w:p>
    <w:p>
      <w:pPr>
        <w:numPr>
          <w:ilvl w:val="0"/>
          <w:numId w:val="16"/>
        </w:numPr>
        <w:spacing w:after="80" w:line="283" w:lineRule="auto"/>
      </w:pPr>
      <w:r>
        <w:rPr>
          <w:rFonts w:ascii="Arial" w:hAnsi="Arial" w:eastAsia="Arial"/>
          <w:color w:val="162019"/>
          <w:sz w:val="20"/>
        </w:rPr>
        <w:t>engagement incomplet de champs critiques ; correction par snapshot complet et contrôle d'intégrité ;</w:t>
      </w:r>
    </w:p>
    <w:p>
      <w:pPr>
        <w:numPr>
          <w:ilvl w:val="0"/>
          <w:numId w:val="16"/>
        </w:numPr>
        <w:spacing w:after="80" w:line="283" w:lineRule="auto"/>
      </w:pPr>
      <w:r>
        <w:rPr>
          <w:rFonts w:ascii="Arial" w:hAnsi="Arial" w:eastAsia="Arial"/>
          <w:color w:val="162019"/>
          <w:sz w:val="20"/>
        </w:rPr>
        <w:t>classification publique à partir de rapports arbitraires ; correction par rejet et séparation des injections réservées aux tests ;</w:t>
      </w:r>
    </w:p>
    <w:p>
      <w:pPr>
        <w:numPr>
          <w:ilvl w:val="0"/>
          <w:numId w:val="16"/>
        </w:numPr>
        <w:spacing w:after="80" w:line="283" w:lineRule="auto"/>
      </w:pPr>
      <w:r>
        <w:rPr>
          <w:rFonts w:ascii="Arial" w:hAnsi="Arial" w:eastAsia="Arial"/>
          <w:color w:val="162019"/>
          <w:sz w:val="20"/>
        </w:rPr>
        <w:t>rejeu, collision, version lineage, valeurs numériques non sûres, remède prématuré et ordre de l'indexer ; corrections couvertes par tests adversariaux.</w:t>
      </w:r>
    </w:p>
    <w:p>
      <w:pPr>
        <w:keepNext/>
        <w:spacing w:before="0" w:after="0" w:line="20" w:lineRule="exact"/>
      </w:pPr>
      <w:r>
        <w:rPr>
          <w:rFonts w:ascii="Arial" w:hAnsi="Arial" w:eastAsia="Arial"/>
          <w:color w:val="FFFFFF"/>
          <w:sz w:val="2"/>
        </w:rPr>
        <w:t xml:space="preserve"> </w:t>
      </w:r>
    </w:p>
    <w:p>
      <w:pPr>
        <w:pStyle w:val="Heading2"/>
      </w:pPr>
      <w:r>
        <w:t>Limites qui bloquent la production</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absence de persistance transactionnelle, journal de reprise et idempotence durable ;</w:t>
      </w:r>
    </w:p>
    <w:p>
      <w:pPr>
        <w:numPr>
          <w:ilvl w:val="0"/>
          <w:numId w:val="16"/>
        </w:numPr>
        <w:spacing w:after="80" w:line="283" w:lineRule="auto"/>
      </w:pPr>
      <w:r>
        <w:rPr>
          <w:rFonts w:ascii="Arial" w:hAnsi="Arial" w:eastAsia="Arial"/>
          <w:color w:val="162019"/>
          <w:sz w:val="20"/>
        </w:rPr>
        <w:t>acteurs et collecteurs locaux non remplacés par signatures, sessions authentifiées et attestations cryptographiques ;</w:t>
      </w:r>
    </w:p>
    <w:p>
      <w:pPr>
        <w:numPr>
          <w:ilvl w:val="0"/>
          <w:numId w:val="16"/>
        </w:numPr>
        <w:spacing w:after="80" w:line="283" w:lineRule="auto"/>
      </w:pPr>
      <w:r>
        <w:rPr>
          <w:rFonts w:ascii="Arial" w:hAnsi="Arial" w:eastAsia="Arial"/>
          <w:color w:val="162019"/>
          <w:sz w:val="20"/>
        </w:rPr>
        <w:t>absence de cible live, RPC indépendant, politique de finalité production et supervision reorg ;</w:t>
      </w:r>
    </w:p>
    <w:p>
      <w:pPr>
        <w:numPr>
          <w:ilvl w:val="0"/>
          <w:numId w:val="16"/>
        </w:numPr>
        <w:spacing w:after="80" w:line="283" w:lineRule="auto"/>
      </w:pPr>
      <w:r>
        <w:rPr>
          <w:rFonts w:ascii="Arial" w:hAnsi="Arial" w:eastAsia="Arial"/>
          <w:color w:val="162019"/>
          <w:sz w:val="20"/>
        </w:rPr>
        <w:t>absence d'alerting, astreinte, runbooks, SLO, restauration et workflow incident externe ;</w:t>
      </w:r>
    </w:p>
    <w:p>
      <w:pPr>
        <w:numPr>
          <w:ilvl w:val="0"/>
          <w:numId w:val="16"/>
        </w:numPr>
        <w:spacing w:after="80" w:line="283" w:lineRule="auto"/>
      </w:pPr>
      <w:r>
        <w:rPr>
          <w:rFonts w:ascii="Arial" w:hAnsi="Arial" w:eastAsia="Arial"/>
          <w:color w:val="162019"/>
          <w:sz w:val="20"/>
        </w:rPr>
        <w:t>absence d'audit indépendant du code, de la configuration, des permissions et du déploiement ;</w:t>
      </w:r>
    </w:p>
    <w:p>
      <w:pPr>
        <w:numPr>
          <w:ilvl w:val="0"/>
          <w:numId w:val="16"/>
        </w:numPr>
        <w:spacing w:after="80" w:line="283" w:lineRule="auto"/>
      </w:pPr>
      <w:r>
        <w:rPr>
          <w:rFonts w:ascii="Arial" w:hAnsi="Arial" w:eastAsia="Arial"/>
          <w:color w:val="162019"/>
          <w:sz w:val="20"/>
        </w:rPr>
        <w:t>absence de validation juridique pour une compensation, un escrow, une distribution ou un service de crypto-actifs.</w:t>
      </w:r>
    </w:p>
    <w:p>
      <w:pPr>
        <w:keepNext/>
        <w:spacing w:before="0" w:after="0" w:line="20" w:lineRule="exact"/>
      </w:pPr>
      <w:r>
        <w:rPr>
          <w:rFonts w:ascii="Arial" w:hAnsi="Arial" w:eastAsia="Arial"/>
          <w:color w:val="FFFFFF"/>
          <w:sz w:val="2"/>
        </w:rPr>
        <w:t xml:space="preserve"> </w:t>
      </w:r>
    </w:p>
    <w:p>
      <w:pPr>
        <w:pStyle w:val="Heading2"/>
      </w:pPr>
      <w:r>
        <w:t>Modèle de menace prioritaire</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Menace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Contrôles attendus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Clé d'administration compromise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Privilèges, trésorerie ou configuration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Multisig, hardware wallets, timelock, moindre privilège, rotation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Collecteur compromis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Fausse preuve ou censure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Sources multiples, signatures, quotas, révocation, diversité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Reorg / RPC malveillant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Classification erronée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Confirmations, RPC indépendants, état canonique et rollback</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Rejeu / collision</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Double obligation ou double conséquence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Domain separation, nonce, chainId, idempotence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Sybil fournisseur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Réputation et capacité artificielles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 opérateur, limites, agrégation et admission graduelle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Governance capture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Paramètres ou dépenses abusifs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Caps immuables, quorum, délégation, timelock, guardian borné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Erreur économique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Insolvabilité d'un registre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Conservation, plafonds, comptabilité séparée et tests d'invariants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Fuite de données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Vie privée, secret industriel</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Minimisation, chiffrement, accès, rétention et DPIA</w:t>
            </w:r>
          </w:p>
        </w:tc>
      </w:tr>
    </w:tbl>
    <w:p>
      <w:pPr>
        <w:spacing w:after="40"/>
      </w:pPr>
    </w:p>
    <w:p>
      <w:pPr>
        <w:keepNext/>
        <w:spacing w:before="440" w:after="100"/>
      </w:pPr>
      <w:r>
        <w:rPr>
          <w:rFonts w:ascii="Arial" w:hAnsi="Arial" w:eastAsia="Arial"/>
          <w:b/>
          <w:color w:val="C6A15B"/>
          <w:sz w:val="16"/>
        </w:rPr>
        <w:t>CHAPITRE 12</w:t>
      </w:r>
    </w:p>
    <w:p>
      <w:pPr>
        <w:pStyle w:val="Heading1"/>
        <w:pageBreakBefore w:val="0"/>
      </w:pPr>
      <w:r>
        <w:t>Marché et mise sur le marché</w:t>
      </w:r>
    </w:p>
    <w:p>
      <w:pPr>
        <w:keepNext/>
        <w:spacing w:before="0" w:after="0" w:line="20" w:lineRule="exact"/>
      </w:pPr>
      <w:r>
        <w:rPr>
          <w:rFonts w:ascii="Arial" w:hAnsi="Arial" w:eastAsia="Arial"/>
          <w:color w:val="FFFFFF"/>
          <w:sz w:val="2"/>
        </w:rPr>
        <w:t xml:space="preserve"> </w:t>
      </w:r>
    </w:p>
    <w:p>
      <w:pPr>
        <w:pStyle w:val="Heading2"/>
      </w:pPr>
      <w:r>
        <w:t>Client initial</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Le segment de départ le plus cohérent est un petit protocole EVM, une DAO ou un opérateur de smart accounts qui possède un droit ou une action on-chain avec deadline, qui supporte un coût réel en cas d'oubli et qui ne dispose pas d'une solution satisfaisante de monitoring, d'automatisation et de recours. Ce segment reste une hypothèse et doit être validé par des entretiens et l'observation du workflow.</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 ICP</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positif</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Signal négatif</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Calldata et événement connus à l'avance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discrétionnaire ou subjective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Deadline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Immuable ou contractuellement bornée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Fenêtre flexible sans coût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Perte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Montant identifiable et significatif</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Impact purement théorique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Fréquence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Récurrence ou valeur unitaire suffisante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Cas exceptionnel sans budget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Alternative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Outil actuel fragile, manuel ou non garanti</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Automation existante suffisante et moins chère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Budget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Volonté de payer discutée avec décideur</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Intérêt gratuit sans sponsor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Intégration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 standard, permissions maîtrisées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 croisées et oracles complexes</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Concurrence et substituts</w:t>
      </w:r>
    </w:p>
    <w:p>
      <w:pPr>
        <w:keepNext/>
        <w:spacing w:before="0" w:after="0" w:line="20" w:lineRule="exact"/>
      </w:pPr>
      <w:r>
        <w:rPr>
          <w:rFonts w:ascii="Arial" w:hAnsi="Arial" w:eastAsia="Arial"/>
          <w:color w:val="FFFFFF"/>
          <w:sz w:val="2"/>
        </w:rPr>
        <w:t xml:space="preserve"> </w:t>
      </w:r>
    </w:p>
    <w:p>
      <w:pPr>
        <w:spacing w:after="140" w:line="307" w:lineRule="auto"/>
      </w:pPr>
      <w:r>
        <w:rPr>
          <w:rFonts w:ascii="Arial" w:hAnsi="Arial" w:eastAsia="Arial"/>
          <w:color w:val="162019"/>
          <w:sz w:val="20"/>
        </w:rPr>
        <w:t>Les substituts incluent cron et bots internes, services de monitoring, réseaux d'automatisation, multisigs, relayers, assurance contractuelle, smart accounts, paiements programmatiques, attestations et solutions de règlement. VERIDIA ne doit pas prétendre que ces catégories sont absentes. Sa différenciation possible est la combinaison restrictive d'un engagement intégralement figé, d'une classification d'incident fail-closed, d'un audit trail reproductible et d'une conséquence préfinancée et bornée.</w:t>
      </w:r>
    </w:p>
    <w:p>
      <w:pPr>
        <w:keepNext/>
        <w:spacing w:before="0" w:after="0" w:line="20" w:lineRule="exact"/>
      </w:pPr>
      <w:r>
        <w:rPr>
          <w:rFonts w:ascii="Arial" w:hAnsi="Arial" w:eastAsia="Arial"/>
          <w:color w:val="FFFFFF"/>
          <w:sz w:val="2"/>
        </w:rPr>
        <w:t xml:space="preserve"> </w:t>
      </w:r>
    </w:p>
    <w:p>
      <w:pPr>
        <w:pStyle w:val="Heading2"/>
      </w:pPr>
      <w:r>
        <w:t>Séquence go-to-market</w:t>
      </w:r>
    </w:p>
    <w:p>
      <w:pPr>
        <w:keepNext/>
        <w:spacing w:before="0" w:after="0" w:line="20" w:lineRule="exact"/>
      </w:pPr>
      <w:r>
        <w:rPr>
          <w:rFonts w:ascii="Arial" w:hAnsi="Arial" w:eastAsia="Arial"/>
          <w:color w:val="FFFFFF"/>
          <w:sz w:val="2"/>
        </w:rPr>
        <w:t xml:space="preserve"> </w:t>
      </w:r>
    </w:p>
    <w:p>
      <w:pPr>
        <w:numPr>
          <w:ilvl w:val="0"/>
          <w:numId w:val="20"/>
        </w:numPr>
        <w:spacing w:after="80" w:line="283" w:lineRule="auto"/>
      </w:pPr>
      <w:r>
        <w:rPr>
          <w:rFonts w:ascii="Arial" w:hAnsi="Arial" w:eastAsia="Arial"/>
          <w:color w:val="162019"/>
          <w:sz w:val="20"/>
        </w:rPr>
        <w:t>Interviewer 15 à 20 opérateurs correspondant à l'ICP et observer au moins cinq workflows réels.</w:t>
      </w:r>
    </w:p>
    <w:p>
      <w:pPr>
        <w:numPr>
          <w:ilvl w:val="0"/>
          <w:numId w:val="20"/>
        </w:numPr>
        <w:spacing w:after="80" w:line="283" w:lineRule="auto"/>
      </w:pPr>
      <w:r>
        <w:rPr>
          <w:rFonts w:ascii="Arial" w:hAnsi="Arial" w:eastAsia="Arial"/>
          <w:color w:val="162019"/>
          <w:sz w:val="20"/>
        </w:rPr>
        <w:t>Choisir un seul template d'action et produire un service manuel sans token ni smart contract additionnel.</w:t>
      </w:r>
    </w:p>
    <w:p>
      <w:pPr>
        <w:numPr>
          <w:ilvl w:val="0"/>
          <w:numId w:val="20"/>
        </w:numPr>
        <w:spacing w:after="80" w:line="283" w:lineRule="auto"/>
      </w:pPr>
      <w:r>
        <w:rPr>
          <w:rFonts w:ascii="Arial" w:hAnsi="Arial" w:eastAsia="Arial"/>
          <w:color w:val="162019"/>
          <w:sz w:val="20"/>
        </w:rPr>
        <w:t>Comparer le service à la meilleure alternative Web2/Web3 sur coût, temps, fiabilité et intégration.</w:t>
      </w:r>
    </w:p>
    <w:p>
      <w:pPr>
        <w:numPr>
          <w:ilvl w:val="0"/>
          <w:numId w:val="20"/>
        </w:numPr>
        <w:spacing w:after="80" w:line="283" w:lineRule="auto"/>
      </w:pPr>
      <w:r>
        <w:rPr>
          <w:rFonts w:ascii="Arial" w:hAnsi="Arial" w:eastAsia="Arial"/>
          <w:color w:val="162019"/>
          <w:sz w:val="20"/>
        </w:rPr>
        <w:t>Signer deux à trois pilotes bornés, sans promesse financière, avec critères de réussite écrits.</w:t>
      </w:r>
    </w:p>
    <w:p>
      <w:pPr>
        <w:numPr>
          <w:ilvl w:val="0"/>
          <w:numId w:val="20"/>
        </w:numPr>
        <w:spacing w:after="80" w:line="283" w:lineRule="auto"/>
      </w:pPr>
      <w:r>
        <w:rPr>
          <w:rFonts w:ascii="Arial" w:hAnsi="Arial" w:eastAsia="Arial"/>
          <w:color w:val="162019"/>
          <w:sz w:val="20"/>
        </w:rPr>
        <w:t>Automatiser uniquement les étapes répétées et démontrées ; conserver une revue humaine pour les incidents.</w:t>
      </w:r>
    </w:p>
    <w:p>
      <w:pPr>
        <w:numPr>
          <w:ilvl w:val="0"/>
          <w:numId w:val="20"/>
        </w:numPr>
        <w:spacing w:after="80" w:line="283" w:lineRule="auto"/>
      </w:pPr>
      <w:r>
        <w:rPr>
          <w:rFonts w:ascii="Arial" w:hAnsi="Arial" w:eastAsia="Arial"/>
          <w:color w:val="162019"/>
          <w:sz w:val="20"/>
        </w:rPr>
        <w:t>Passer en bêta payante si un décideur accepte un prix et renouvelle le service.</w:t>
      </w:r>
    </w:p>
    <w:p>
      <w:pPr>
        <w:numPr>
          <w:ilvl w:val="0"/>
          <w:numId w:val="20"/>
        </w:numPr>
        <w:spacing w:after="80" w:line="283" w:lineRule="auto"/>
      </w:pPr>
      <w:r>
        <w:rPr>
          <w:rFonts w:ascii="Arial" w:hAnsi="Arial" w:eastAsia="Arial"/>
          <w:color w:val="162019"/>
          <w:sz w:val="20"/>
        </w:rPr>
        <w:t>Réexaminer séparément la nécessité de VERIDIA ; ne pas utiliser l'intérêt produit comme justification du token.</w:t>
      </w:r>
    </w:p>
    <w:p>
      <w:pPr>
        <w:keepNext/>
        <w:spacing w:before="440" w:after="100"/>
      </w:pPr>
      <w:r>
        <w:rPr>
          <w:rFonts w:ascii="Arial" w:hAnsi="Arial" w:eastAsia="Arial"/>
          <w:b/>
          <w:color w:val="C6A15B"/>
          <w:sz w:val="16"/>
        </w:rPr>
        <w:t>CHAPITRE 13</w:t>
      </w:r>
    </w:p>
    <w:p>
      <w:pPr>
        <w:pStyle w:val="Heading1"/>
        <w:pageBreakBefore w:val="0"/>
      </w:pPr>
      <w:r>
        <w:t>Cadre juridique et conformité</w:t>
      </w:r>
    </w:p>
    <w:p>
      <w:pPr>
        <w:spacing w:before="100" w:after="180" w:line="283" w:lineRule="auto"/>
        <w:ind w:left="227" w:right="170"/>
        <w:shd w:fill="F6F0E3"/>
        <w:pBdr>
          <w:left w:val="single" w:sz="18" w:space="8" w:color="C6A15B"/>
        </w:pBdr>
      </w:pPr>
      <w:r>
        <w:rPr>
          <w:rFonts w:ascii="Arial" w:hAnsi="Arial" w:eastAsia="Arial"/>
          <w:b/>
          <w:color w:val="C6A15B"/>
          <w:sz w:val="16"/>
        </w:rPr>
        <w:t>POSITION JURIDIQUE</w:t>
        <w:br/>
      </w:r>
      <w:r>
        <w:rPr>
          <w:rFonts w:ascii="Arial" w:hAnsi="Arial" w:eastAsia="Arial"/>
          <w:b w:val="0"/>
          <w:color w:val="162019"/>
          <w:sz w:val="20"/>
        </w:rPr>
        <w:t>Le White Paper Pacturion V1.0 est un document technique et stratégique ; il n'est ni un avis juridique, ni un livre blanc sur les crypto-actifs notifié au titre de MiCA. Avant toute offre au public ou demande d'admission à la négociation dans l'Union européenne, la qualification, l'offreur, l'entité, les conditions d'offre, les responsabilités, le format réglementaire et la notification doivent être validés par un professionnel compétent.</w:t>
      </w:r>
    </w:p>
    <w:p>
      <w:pPr>
        <w:spacing w:after="140" w:line="307" w:lineRule="auto"/>
      </w:pPr>
      <w:r>
        <w:rPr>
          <w:rFonts w:ascii="Arial" w:hAnsi="Arial" w:eastAsia="Arial"/>
          <w:color w:val="162019"/>
          <w:sz w:val="20"/>
        </w:rPr>
        <w:t>Le scénario de travail suppose que VERIDIA pourrait relever des crypto-actifs autres que jetons se référant à des actifs (ART) ou jetons de monnaie électronique (EMT). Cette hypothèse n'est pas une conclusion. Selon l'article 6 de MiCA et l'annexe I, un livre blanc final doit notamment identifier l'offreur et l'émetteur, présenter le projet, l'offre ou l'admission, le crypto-actif, les droits, la technologie, les risques et les impacts environnementaux. Il doit être clair, loyal, non trompeur et ne pas affirmer une valeur future.</w:t>
      </w:r>
    </w:p>
    <w:p>
      <w:pPr>
        <w:keepNext/>
        <w:spacing w:before="0" w:after="0" w:line="20" w:lineRule="exact"/>
      </w:pPr>
      <w:r>
        <w:rPr>
          <w:rFonts w:ascii="Arial" w:hAnsi="Arial" w:eastAsia="Arial"/>
          <w:color w:val="FFFFFF"/>
          <w:sz w:val="2"/>
        </w:rPr>
        <w:t xml:space="preserve"> </w:t>
      </w:r>
    </w:p>
    <w:p>
      <w:pPr>
        <w:pStyle w:val="Heading2"/>
      </w:pPr>
      <w:r>
        <w:t>Écarts MiCA à combler</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Bloc requis</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actuel</w:t>
            </w:r>
          </w:p>
        </w:tc>
        <w:tc>
          <w:tcPr>
            <w:tcW w:type="dxa" w:w="4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Action avant publication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Offreur / émetteur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établi dans les sources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Constituer/identifier l'entité, dirigeants, siège, identifiant et contact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Projet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Décrit</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Figer personnes impliquées, ressources et jalons approuvés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Offre / admission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décision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Définir ou déclarer l'absence d'offre ; prix, quantité, périodes, cible et remboursements si applicable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Crypto-actif</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Supply et exclusions définies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Confirmer ticker, standard, adresses, fonctionnalités et disponibilité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Droits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Absence de revenus / garanties décrite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Faire valider juridiquement les droits, obligations, transfert et recours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Technologie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Architecture décrite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Annexer versions, contrats, audit, dépendances et déploiement vérifié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Risques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Matrice présente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indépendante, risques spécifiques à l'offre et à l'entité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Environnement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Qualitatif</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Produire les indicateurs quantitatifs exigés dans le format applicable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Notification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effectuée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Préparer format machine-readable et notifier l'AMF au moins 20 jours ouvrés avant publication si requis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Marketing</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encadrer</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Aligner tout contenu, insérer avertissements et interdire les promesses de valeur</w:t>
            </w:r>
          </w:p>
        </w:tc>
      </w:tr>
    </w:tbl>
    <w:p>
      <w:pPr>
        <w:spacing w:after="40"/>
      </w:pPr>
    </w:p>
    <w:p>
      <w:pPr>
        <w:keepNext/>
        <w:spacing w:before="0" w:after="0" w:line="20" w:lineRule="exact"/>
      </w:pPr>
      <w:r>
        <w:rPr>
          <w:rFonts w:ascii="Arial" w:hAnsi="Arial" w:eastAsia="Arial"/>
          <w:color w:val="FFFFFF"/>
          <w:sz w:val="2"/>
        </w:rPr>
        <w:t xml:space="preserve"> </w:t>
      </w:r>
    </w:p>
    <w:p>
      <w:pPr>
        <w:pStyle w:val="Heading2"/>
      </w:pPr>
      <w:r>
        <w:t>Autres chantiers</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AML/CFT et sanctions : qualifier les flux, les contreparties, les fournisseurs, les remboursements et l'éventuelle distribution ;</w:t>
      </w:r>
    </w:p>
    <w:p>
      <w:pPr>
        <w:numPr>
          <w:ilvl w:val="0"/>
          <w:numId w:val="16"/>
        </w:numPr>
        <w:spacing w:after="80" w:line="283" w:lineRule="auto"/>
      </w:pPr>
      <w:r>
        <w:rPr>
          <w:rFonts w:ascii="Arial" w:hAnsi="Arial" w:eastAsia="Arial"/>
          <w:color w:val="162019"/>
          <w:sz w:val="20"/>
        </w:rPr>
        <w:t>services sur crypto-actifs : éviter d'exercer garde, échange, placement, conseil, transmission d'ordres ou transfert pour compte de clients sans qualification et autorisation adaptées ;</w:t>
      </w:r>
    </w:p>
    <w:p>
      <w:pPr>
        <w:numPr>
          <w:ilvl w:val="0"/>
          <w:numId w:val="16"/>
        </w:numPr>
        <w:spacing w:after="80" w:line="283" w:lineRule="auto"/>
      </w:pPr>
      <w:r>
        <w:rPr>
          <w:rFonts w:ascii="Arial" w:hAnsi="Arial" w:eastAsia="Arial"/>
          <w:color w:val="162019"/>
          <w:sz w:val="20"/>
        </w:rPr>
        <w:t>RGPD : cartographier données personnelles, rôles, bases légales, minimisation, durées, sous-traitants, transferts et demandes de droits ;</w:t>
      </w:r>
    </w:p>
    <w:p>
      <w:pPr>
        <w:numPr>
          <w:ilvl w:val="0"/>
          <w:numId w:val="16"/>
        </w:numPr>
        <w:spacing w:after="80" w:line="283" w:lineRule="auto"/>
      </w:pPr>
      <w:r>
        <w:rPr>
          <w:rFonts w:ascii="Arial" w:hAnsi="Arial" w:eastAsia="Arial"/>
          <w:color w:val="162019"/>
          <w:sz w:val="20"/>
        </w:rPr>
        <w:t>consommation : informations précontractuelles, droit de rétractation le cas échéant, support, réclamations et communications non trompeuses ;</w:t>
      </w:r>
    </w:p>
    <w:p>
      <w:pPr>
        <w:numPr>
          <w:ilvl w:val="0"/>
          <w:numId w:val="16"/>
        </w:numPr>
        <w:spacing w:after="80" w:line="283" w:lineRule="auto"/>
      </w:pPr>
      <w:r>
        <w:rPr>
          <w:rFonts w:ascii="Arial" w:hAnsi="Arial" w:eastAsia="Arial"/>
          <w:color w:val="162019"/>
          <w:sz w:val="20"/>
        </w:rPr>
        <w:t>contrats : conditions de service, SLA, plafonds de responsabilité, force majeure, finalité de chaîne, recours, droit applicable et juridiction ;</w:t>
      </w:r>
    </w:p>
    <w:p>
      <w:pPr>
        <w:numPr>
          <w:ilvl w:val="0"/>
          <w:numId w:val="16"/>
        </w:numPr>
        <w:spacing w:after="80" w:line="283" w:lineRule="auto"/>
      </w:pPr>
      <w:r>
        <w:rPr>
          <w:rFonts w:ascii="Arial" w:hAnsi="Arial" w:eastAsia="Arial"/>
          <w:color w:val="162019"/>
          <w:sz w:val="20"/>
        </w:rPr>
        <w:t>fiscalité et comptabilité : traitement des jetons, frais, escrows, collatéraux, trésorerie et TVA ;</w:t>
      </w:r>
    </w:p>
    <w:p>
      <w:pPr>
        <w:numPr>
          <w:ilvl w:val="0"/>
          <w:numId w:val="16"/>
        </w:numPr>
        <w:spacing w:after="80" w:line="283" w:lineRule="auto"/>
      </w:pPr>
      <w:r>
        <w:rPr>
          <w:rFonts w:ascii="Arial" w:hAnsi="Arial" w:eastAsia="Arial"/>
          <w:color w:val="162019"/>
          <w:sz w:val="20"/>
        </w:rPr>
        <w:t>propriété intellectuelle : marques Pacturion et VERIDIA, licences du code, contributions, dépendances open source et droits sur les données.</w:t>
      </w:r>
    </w:p>
    <w:p>
      <w:pPr>
        <w:keepNext/>
        <w:spacing w:before="440" w:after="100"/>
      </w:pPr>
      <w:r>
        <w:rPr>
          <w:rFonts w:ascii="Arial" w:hAnsi="Arial" w:eastAsia="Arial"/>
          <w:b/>
          <w:color w:val="C6A15B"/>
          <w:sz w:val="16"/>
        </w:rPr>
        <w:t>CHAPITRE 14</w:t>
      </w:r>
    </w:p>
    <w:p>
      <w:pPr>
        <w:pStyle w:val="Heading1"/>
        <w:pageBreakBefore w:val="0"/>
      </w:pPr>
      <w:r>
        <w:t>Risques</w:t>
      </w:r>
    </w:p>
    <w:tbl>
      <w:tblPr>
        <w:tblStyle w:val="TableGrid"/>
        <w:tblW w:type="dxa" w:w="9500"/>
        <w:jc w:val="left"/>
        <w:tblLayout w:type="fixed"/>
        <w:tblLook w:firstColumn="1" w:firstRow="1" w:lastColumn="0" w:lastRow="0" w:noHBand="0" w:noVBand="1" w:val="04A0"/>
        <w:tblInd w:w="120" w:type="dxa"/>
      </w:tblPr>
      <w:tblGrid>
        <w:gridCol w:w="1850"/>
        <w:gridCol w:w="1950"/>
        <w:gridCol w:w="2950"/>
        <w:gridCol w:w="2750"/>
      </w:tblGrid>
      <w:tr>
        <w:trPr>
          <w:tblHeader w:val="true"/>
          <w:cantSplit/>
        </w:trPr>
        <w:tc>
          <w:tcPr>
            <w:tcW w:type="dxa" w:w="18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1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Probabilité</w:t>
            </w:r>
          </w:p>
        </w:tc>
        <w:tc>
          <w:tcPr>
            <w:tcW w:type="dxa" w:w="29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275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Réduction / décision</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Absence de besoin client</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Entretiens, workflow observé, pilote et prix avant construction supplémentaire</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Token inutile</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Seuil de nécessité &gt;= 6/10 ; voie tokenless par défaut</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Erreur de classification ALPHA</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Fail closed, quorum indépendant, exceptions et audit</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 vulnérable</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 indépendant, fuzz, invariants, bug bounty et caps</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 compromise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Multisig, hardware, rotation, timelock et monitoring</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Dépendance Base / RPC</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RPC multiples, reorg handling, modes dégradés et limites contractuelles</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Illiquidité / volatilité</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 si distribution</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promesse ; ne pas imposer VERIDIA au règlement ou au collatéral</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Concentration governance</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 au départ</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Pouvoirs bornés, transparence, délégation et progression lente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Non-conformité</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Avis juridique, MiCA, AMF, RGPD, AML et restrictions géographiques</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physiques falsifiées</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 sans hardware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Secure elements, calibration, multi-source et aucune vérité automatique</w:t>
            </w:r>
          </w:p>
        </w:tc>
      </w:tr>
      <w:tr>
        <w:trPr>
          <w:cantSplit/>
        </w:trPr>
        <w:tc>
          <w:tcPr>
            <w:tcW w:type="dxa" w:w="18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Dérive de scope</w:t>
            </w:r>
          </w:p>
        </w:tc>
        <w:tc>
          <w:tcPr>
            <w:tcW w:type="dxa" w:w="1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Élevée</w:t>
            </w:r>
          </w:p>
        </w:tc>
        <w:tc>
          <w:tcPr>
            <w:tcW w:type="dxa" w:w="29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seul template et gates de changement</w:t>
            </w:r>
          </w:p>
        </w:tc>
      </w:tr>
      <w:tr>
        <w:trPr>
          <w:cantSplit/>
        </w:trPr>
        <w:tc>
          <w:tcPr>
            <w:tcW w:type="dxa" w:w="18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Réputation</w:t>
            </w:r>
          </w:p>
        </w:tc>
        <w:tc>
          <w:tcPr>
            <w:tcW w:type="dxa" w:w="1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Moyenne</w:t>
            </w:r>
          </w:p>
        </w:tc>
        <w:tc>
          <w:tcPr>
            <w:tcW w:type="dxa" w:w="29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Élevé</w:t>
            </w:r>
          </w:p>
        </w:tc>
        <w:tc>
          <w:tcPr>
            <w:tcW w:type="dxa" w:w="27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Transparence sur limites, pas de marketing financier, incidents publics</w:t>
            </w:r>
          </w:p>
        </w:tc>
      </w:tr>
    </w:tbl>
    <w:p>
      <w:pPr>
        <w:spacing w:after="40"/>
      </w:pPr>
    </w:p>
    <w:p>
      <w:pPr>
        <w:keepNext/>
        <w:spacing w:before="440" w:after="100"/>
      </w:pPr>
      <w:r>
        <w:rPr>
          <w:rFonts w:ascii="Arial" w:hAnsi="Arial" w:eastAsia="Arial"/>
          <w:b/>
          <w:color w:val="C6A15B"/>
          <w:sz w:val="16"/>
        </w:rPr>
        <w:t>CHAPITRE 15</w:t>
      </w:r>
    </w:p>
    <w:p>
      <w:pPr>
        <w:pStyle w:val="Heading1"/>
        <w:pageBreakBefore w:val="0"/>
      </w:pPr>
      <w:r>
        <w:t>Indicateurs, décisions et trajectoire</w:t>
      </w:r>
    </w:p>
    <w:p>
      <w:pPr>
        <w:keepNext/>
        <w:spacing w:before="0" w:after="0" w:line="20" w:lineRule="exact"/>
      </w:pPr>
      <w:r>
        <w:rPr>
          <w:rFonts w:ascii="Arial" w:hAnsi="Arial" w:eastAsia="Arial"/>
          <w:color w:val="FFFFFF"/>
          <w:sz w:val="2"/>
        </w:rPr>
        <w:t xml:space="preserve"> </w:t>
      </w:r>
    </w:p>
    <w:p>
      <w:pPr>
        <w:pStyle w:val="Heading2"/>
      </w:pPr>
      <w:r>
        <w:t>Indicateurs de vérité produit</w:t>
      </w:r>
    </w:p>
    <w:p>
      <w:pPr>
        <w:keepNext/>
        <w:spacing w:before="0" w:after="0" w:line="20" w:lineRule="exact"/>
      </w:pPr>
      <w:r>
        <w:rPr>
          <w:rFonts w:ascii="Arial" w:hAnsi="Arial" w:eastAsia="Arial"/>
          <w:color w:val="FFFFFF"/>
          <w:sz w:val="2"/>
        </w:rPr>
        <w:t xml:space="preserve"> </w:t>
      </w:r>
    </w:p>
    <w:p>
      <w:pPr>
        <w:numPr>
          <w:ilvl w:val="0"/>
          <w:numId w:val="16"/>
        </w:numPr>
        <w:spacing w:after="80" w:line="283" w:lineRule="auto"/>
      </w:pPr>
      <w:r>
        <w:rPr>
          <w:rFonts w:ascii="Arial" w:hAnsi="Arial" w:eastAsia="Arial"/>
          <w:color w:val="162019"/>
          <w:sz w:val="20"/>
        </w:rPr>
        <w:t>nombre d'entretiens avec décideurs et opérateurs, workflows réellement observés et problèmes récurrents ;</w:t>
      </w:r>
    </w:p>
    <w:p>
      <w:pPr>
        <w:numPr>
          <w:ilvl w:val="0"/>
          <w:numId w:val="16"/>
        </w:numPr>
        <w:spacing w:after="80" w:line="283" w:lineRule="auto"/>
      </w:pPr>
      <w:r>
        <w:rPr>
          <w:rFonts w:ascii="Arial" w:hAnsi="Arial" w:eastAsia="Arial"/>
          <w:color w:val="162019"/>
          <w:sz w:val="20"/>
        </w:rPr>
        <w:t>temps et coût actuels du problème, perte potentielle documentée et budget associé ;</w:t>
      </w:r>
    </w:p>
    <w:p>
      <w:pPr>
        <w:numPr>
          <w:ilvl w:val="0"/>
          <w:numId w:val="16"/>
        </w:numPr>
        <w:spacing w:after="80" w:line="283" w:lineRule="auto"/>
      </w:pPr>
      <w:r>
        <w:rPr>
          <w:rFonts w:ascii="Arial" w:hAnsi="Arial" w:eastAsia="Arial"/>
          <w:color w:val="162019"/>
          <w:sz w:val="20"/>
        </w:rPr>
        <w:t>taux d'acceptation d'un pilote payant et taux de renouvellement ;</w:t>
      </w:r>
    </w:p>
    <w:p>
      <w:pPr>
        <w:numPr>
          <w:ilvl w:val="0"/>
          <w:numId w:val="16"/>
        </w:numPr>
        <w:spacing w:after="80" w:line="283" w:lineRule="auto"/>
      </w:pPr>
      <w:r>
        <w:rPr>
          <w:rFonts w:ascii="Arial" w:hAnsi="Arial" w:eastAsia="Arial"/>
          <w:color w:val="162019"/>
          <w:sz w:val="20"/>
        </w:rPr>
        <w:t>temps jusqu'à la première obligation valide, taux de réussite et causes d'échec ;</w:t>
      </w:r>
    </w:p>
    <w:p>
      <w:pPr>
        <w:numPr>
          <w:ilvl w:val="0"/>
          <w:numId w:val="16"/>
        </w:numPr>
        <w:spacing w:after="80" w:line="283" w:lineRule="auto"/>
      </w:pPr>
      <w:r>
        <w:rPr>
          <w:rFonts w:ascii="Arial" w:hAnsi="Arial" w:eastAsia="Arial"/>
          <w:color w:val="162019"/>
          <w:sz w:val="20"/>
        </w:rPr>
        <w:t>nombre de classifications indéterminées, contestées et faux positifs ;</w:t>
      </w:r>
    </w:p>
    <w:p>
      <w:pPr>
        <w:numPr>
          <w:ilvl w:val="0"/>
          <w:numId w:val="16"/>
        </w:numPr>
        <w:spacing w:after="80" w:line="283" w:lineRule="auto"/>
      </w:pPr>
      <w:r>
        <w:rPr>
          <w:rFonts w:ascii="Arial" w:hAnsi="Arial" w:eastAsia="Arial"/>
          <w:color w:val="162019"/>
          <w:sz w:val="20"/>
        </w:rPr>
        <w:t>marge brute par template et coût direct de monitoring / chaîne / support ;</w:t>
      </w:r>
    </w:p>
    <w:p>
      <w:pPr>
        <w:numPr>
          <w:ilvl w:val="0"/>
          <w:numId w:val="16"/>
        </w:numPr>
        <w:spacing w:after="80" w:line="283" w:lineRule="auto"/>
      </w:pPr>
      <w:r>
        <w:rPr>
          <w:rFonts w:ascii="Arial" w:hAnsi="Arial" w:eastAsia="Arial"/>
          <w:color w:val="162019"/>
          <w:sz w:val="20"/>
        </w:rPr>
        <w:t>dépendance réelle au token mesurée par les tests de retrait et de substitution.</w:t>
      </w:r>
    </w:p>
    <w:p>
      <w:pPr>
        <w:keepNext/>
        <w:spacing w:before="0" w:after="0" w:line="20" w:lineRule="exact"/>
      </w:pPr>
      <w:r>
        <w:rPr>
          <w:rFonts w:ascii="Arial" w:hAnsi="Arial" w:eastAsia="Arial"/>
          <w:color w:val="FFFFFF"/>
          <w:sz w:val="2"/>
        </w:rPr>
        <w:t xml:space="preserve"> </w:t>
      </w:r>
    </w:p>
    <w:p>
      <w:pPr>
        <w:pStyle w:val="Heading2"/>
      </w:pPr>
      <w:r>
        <w:t>Décisions possibles</w:t>
      </w:r>
    </w:p>
    <w:p>
      <w:pPr>
        <w:keepNext/>
        <w:spacing w:before="0" w:after="0" w:line="20" w:lineRule="exact"/>
      </w:pPr>
      <w:r>
        <w:rPr>
          <w:rFonts w:ascii="Arial" w:hAnsi="Arial" w:eastAsia="Arial"/>
          <w:color w:val="FFFFFF"/>
          <w:sz w:val="2"/>
        </w:rPr>
        <w:t xml:space="preserve"> </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Produit non validé</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 de douleur, budget ou avantage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Arrêter le template, documenter et pivoter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Produit validé, token inutile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Clients paient mais rôle VERIDIA substituable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Lancer le produit sans dépendance au token ; garder VERIDIA inactif</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Produit et rôle token validés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Nécessité &gt;= 6/10, résilience et avis juridique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testnet dédié, gouvernance graduelle puis décision mainnet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Risque technique ou légal excessif</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incident ou qualification défavorable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Geler distribution et fonctions économiques</w:t>
            </w:r>
          </w:p>
        </w:tc>
      </w:tr>
    </w:tbl>
    <w:p>
      <w:pPr>
        <w:spacing w:after="40"/>
      </w:pPr>
    </w:p>
    <w:p>
      <w:pPr>
        <w:spacing w:after="140" w:line="307" w:lineRule="auto"/>
      </w:pPr>
      <w:r>
        <w:rPr>
          <w:rFonts w:ascii="Arial" w:hAnsi="Arial" w:eastAsia="Arial"/>
          <w:color w:val="162019"/>
          <w:sz w:val="20"/>
        </w:rPr>
        <w:t>La roadmap détaillée 2026–2028 est fournie dans un document séparé. Elle organise le travail autour de critères de sortie, pas autour de dates marketing irréversibles.</w:t>
      </w:r>
    </w:p>
    <w:p>
      <w:pPr>
        <w:keepNext/>
        <w:spacing w:before="440" w:after="100"/>
      </w:pPr>
      <w:r>
        <w:rPr>
          <w:rFonts w:ascii="Arial" w:hAnsi="Arial" w:eastAsia="Arial"/>
          <w:b/>
          <w:color w:val="C6A15B"/>
          <w:sz w:val="16"/>
        </w:rPr>
        <w:t>CHAPITRE ANNEXE A</w:t>
      </w:r>
    </w:p>
    <w:p>
      <w:pPr>
        <w:pStyle w:val="Heading1"/>
        <w:pageBreakBefore w:val="0"/>
      </w:pPr>
      <w:r>
        <w:t>Historique synthétique des décisions</w:t>
      </w:r>
    </w:p>
    <w:tbl>
      <w:tblPr>
        <w:tblStyle w:val="TableGrid"/>
        <w:tblW w:type="dxa" w:w="9500"/>
        <w:jc w:val="left"/>
        <w:tblLayout w:type="fixed"/>
        <w:tblLook w:firstColumn="1" w:firstRow="1" w:lastColumn="0" w:lastRow="0" w:noHBand="0" w:noVBand="1" w:val="04A0"/>
        <w:tblInd w:w="120" w:type="dxa"/>
      </w:tblPr>
      <w:tblGrid>
        <w:gridCol w:w="2300"/>
        <w:gridCol w:w="2500"/>
        <w:gridCol w:w="4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 / phase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Effet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Août 2026 — cadrage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VERIDIA retenu ; Base privilégiée ; Proof-of-Reality étudié</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Vision et architecture initiales</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1</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Supply fixe de 1 milliard ; contrôles d'allocation, trésorerie et gouvernance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Socle conservé ; aucun mint/inflation/tax/APY</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2 — Itération 2</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BCS maintenu comme produit ; token necessity 2/10</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token obligatoire dans le règlement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2 — Itération 3</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opportunité ne justifie encore VERIDIA Core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ALPHA choisi pour discovery, BETA/GAMMA en recherche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2.5</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Premier use case ALPHA : claim on-chain avant deadline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Réduction radicale du scope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30 août 2026 — Phase 3B</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Durcissement adversarial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 Critical/High ALPHA non résolu dans la portée locale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Après 30 août 2026</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Déploiement Base Sepolia signalé par le porteur</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Registre de preuves de déploiement à intégrer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8 septembre 2026</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Phase 3.E Human Pilot et Release Candidate déclarées PASS</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Rapports et preuves formelles à annexer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8 septembre 2026</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Pacturion devient la marque porteuse ; VERIDIA demeure l'infrastructure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Alignement de la documentation officielle</w:t>
            </w:r>
          </w:p>
        </w:tc>
      </w:tr>
    </w:tbl>
    <w:p>
      <w:pPr>
        <w:spacing w:after="40"/>
      </w:pPr>
    </w:p>
    <w:p>
      <w:pPr>
        <w:keepNext/>
        <w:spacing w:before="440" w:after="100"/>
      </w:pPr>
      <w:r>
        <w:rPr>
          <w:rFonts w:ascii="Arial" w:hAnsi="Arial" w:eastAsia="Arial"/>
          <w:b/>
          <w:color w:val="C6A15B"/>
          <w:sz w:val="16"/>
        </w:rPr>
        <w:t>CHAPITRE ANNEXE B</w:t>
      </w:r>
    </w:p>
    <w:p>
      <w:pPr>
        <w:pStyle w:val="Heading1"/>
        <w:pageBreakBefore w:val="0"/>
      </w:pPr>
      <w:r>
        <w:t>Registre de déploiement à compléter</w:t>
      </w:r>
    </w:p>
    <w:tbl>
      <w:tblPr>
        <w:tblStyle w:val="TableGrid"/>
        <w:tblW w:type="dxa" w:w="9500"/>
        <w:jc w:val="left"/>
        <w:tblLayout w:type="fixed"/>
        <w:tblLook w:firstColumn="1" w:firstRow="1" w:lastColumn="0" w:lastRow="0" w:noHBand="0" w:noVBand="1" w:val="04A0"/>
        <w:tblInd w:w="120" w:type="dxa"/>
      </w:tblPr>
      <w:tblGrid>
        <w:gridCol w:w="2450"/>
        <w:gridCol w:w="7050"/>
      </w:tblGrid>
      <w:tr>
        <w:trPr>
          <w:tblHeader w:val="true"/>
          <w:cantSplit/>
        </w:trPr>
        <w:tc>
          <w:tcPr>
            <w:tcW w:type="dxa" w:w="2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0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à publier</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Network</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Base Sepolia — chain ID 84532</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Commit / tag</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insérer</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Solc / optimizer</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insérer</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VeridiaToken</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tx hash, block, bytecode hash, lien Basescan</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Vesting / allocations</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Adresses et rôles</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Treasury</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caps, rôles et owner effectif</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Governor</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et paramètres</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Timelock</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délai et rôles</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Airdrop / staking</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Adresses, statut et finalité exacte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Déployeur</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Adresse publique ; ne jamais publier la clé</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Vérification</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source verified et correspondance bytecode</w:t>
            </w:r>
          </w:p>
        </w:tc>
      </w:tr>
    </w:tbl>
    <w:p>
      <w:pPr>
        <w:spacing w:after="40"/>
      </w:pPr>
    </w:p>
    <w:p>
      <w:pPr>
        <w:keepNext/>
        <w:spacing w:before="440" w:after="100"/>
      </w:pPr>
      <w:r>
        <w:rPr>
          <w:rFonts w:ascii="Arial" w:hAnsi="Arial" w:eastAsia="Arial"/>
          <w:b/>
          <w:color w:val="C6A15B"/>
          <w:sz w:val="16"/>
        </w:rPr>
        <w:t>CHAPITRE ANNEXE C</w:t>
      </w:r>
    </w:p>
    <w:p>
      <w:pPr>
        <w:pStyle w:val="Heading1"/>
        <w:pageBreakBefore w:val="0"/>
      </w:pPr>
      <w:r>
        <w:t>Checklist avant publication</w:t>
      </w:r>
    </w:p>
    <w:p>
      <w:pPr>
        <w:numPr>
          <w:ilvl w:val="0"/>
          <w:numId w:val="16"/>
        </w:numPr>
        <w:spacing w:after="80" w:line="283" w:lineRule="auto"/>
      </w:pPr>
      <w:r>
        <w:rPr>
          <w:rFonts w:ascii="Arial" w:hAnsi="Arial" w:eastAsia="Arial"/>
          <w:color w:val="162019"/>
          <w:sz w:val="20"/>
        </w:rPr>
        <w:t>remplacer toutes les mentions « à compléter » ;</w:t>
      </w:r>
    </w:p>
    <w:p>
      <w:pPr>
        <w:numPr>
          <w:ilvl w:val="0"/>
          <w:numId w:val="16"/>
        </w:numPr>
        <w:spacing w:after="80" w:line="283" w:lineRule="auto"/>
      </w:pPr>
      <w:r>
        <w:rPr>
          <w:rFonts w:ascii="Arial" w:hAnsi="Arial" w:eastAsia="Arial"/>
          <w:color w:val="162019"/>
          <w:sz w:val="20"/>
        </w:rPr>
        <w:t>annexer adresses, transactions, commit, paramètres, bytecodes et rôles testnet ;</w:t>
      </w:r>
    </w:p>
    <w:p>
      <w:pPr>
        <w:numPr>
          <w:ilvl w:val="0"/>
          <w:numId w:val="16"/>
        </w:numPr>
        <w:spacing w:after="80" w:line="283" w:lineRule="auto"/>
      </w:pPr>
      <w:r>
        <w:rPr>
          <w:rFonts w:ascii="Arial" w:hAnsi="Arial" w:eastAsia="Arial"/>
          <w:color w:val="162019"/>
          <w:sz w:val="20"/>
        </w:rPr>
        <w:t>confirmer le ticker et l'intégralité des fonctionnalités réellement déployées ;</w:t>
      </w:r>
    </w:p>
    <w:p>
      <w:pPr>
        <w:numPr>
          <w:ilvl w:val="0"/>
          <w:numId w:val="16"/>
        </w:numPr>
        <w:spacing w:after="80" w:line="283" w:lineRule="auto"/>
      </w:pPr>
      <w:r>
        <w:rPr>
          <w:rFonts w:ascii="Arial" w:hAnsi="Arial" w:eastAsia="Arial"/>
          <w:color w:val="162019"/>
          <w:sz w:val="20"/>
        </w:rPr>
        <w:t>faire relire le document par conseil juridique MiCA / AMF et fiscal ;</w:t>
      </w:r>
    </w:p>
    <w:p>
      <w:pPr>
        <w:numPr>
          <w:ilvl w:val="0"/>
          <w:numId w:val="16"/>
        </w:numPr>
        <w:spacing w:after="80" w:line="283" w:lineRule="auto"/>
      </w:pPr>
      <w:r>
        <w:rPr>
          <w:rFonts w:ascii="Arial" w:hAnsi="Arial" w:eastAsia="Arial"/>
          <w:color w:val="162019"/>
          <w:sz w:val="20"/>
        </w:rPr>
        <w:t>produire la déclaration de l'organe de direction et identifier l'offreur ;</w:t>
      </w:r>
    </w:p>
    <w:p>
      <w:pPr>
        <w:numPr>
          <w:ilvl w:val="0"/>
          <w:numId w:val="16"/>
        </w:numPr>
        <w:spacing w:after="80" w:line="283" w:lineRule="auto"/>
      </w:pPr>
      <w:r>
        <w:rPr>
          <w:rFonts w:ascii="Arial" w:hAnsi="Arial" w:eastAsia="Arial"/>
          <w:color w:val="162019"/>
          <w:sz w:val="20"/>
        </w:rPr>
        <w:t>définir explicitement s'il existe une offre au public ou admission à la négociation ;</w:t>
      </w:r>
    </w:p>
    <w:p>
      <w:pPr>
        <w:numPr>
          <w:ilvl w:val="0"/>
          <w:numId w:val="16"/>
        </w:numPr>
        <w:spacing w:after="80" w:line="283" w:lineRule="auto"/>
      </w:pPr>
      <w:r>
        <w:rPr>
          <w:rFonts w:ascii="Arial" w:hAnsi="Arial" w:eastAsia="Arial"/>
          <w:color w:val="162019"/>
          <w:sz w:val="20"/>
        </w:rPr>
        <w:t>produire le format réglementaire machine-readable applicable ;</w:t>
      </w:r>
    </w:p>
    <w:p>
      <w:pPr>
        <w:numPr>
          <w:ilvl w:val="0"/>
          <w:numId w:val="16"/>
        </w:numPr>
        <w:spacing w:after="80" w:line="283" w:lineRule="auto"/>
      </w:pPr>
      <w:r>
        <w:rPr>
          <w:rFonts w:ascii="Arial" w:hAnsi="Arial" w:eastAsia="Arial"/>
          <w:color w:val="162019"/>
          <w:sz w:val="20"/>
        </w:rPr>
        <w:t>réaliser un audit indépendant et publier la portée, les exceptions et les corrections ;</w:t>
      </w:r>
    </w:p>
    <w:p>
      <w:pPr>
        <w:numPr>
          <w:ilvl w:val="0"/>
          <w:numId w:val="16"/>
        </w:numPr>
        <w:spacing w:after="80" w:line="283" w:lineRule="auto"/>
      </w:pPr>
      <w:r>
        <w:rPr>
          <w:rFonts w:ascii="Arial" w:hAnsi="Arial" w:eastAsia="Arial"/>
          <w:color w:val="162019"/>
          <w:sz w:val="20"/>
        </w:rPr>
        <w:t>publier politiques de sécurité, bug bounty, incidents, gouvernance et changements ;</w:t>
      </w:r>
    </w:p>
    <w:p>
      <w:pPr>
        <w:numPr>
          <w:ilvl w:val="0"/>
          <w:numId w:val="16"/>
        </w:numPr>
        <w:spacing w:after="80" w:line="283" w:lineRule="auto"/>
      </w:pPr>
      <w:r>
        <w:rPr>
          <w:rFonts w:ascii="Arial" w:hAnsi="Arial" w:eastAsia="Arial"/>
          <w:color w:val="162019"/>
          <w:sz w:val="20"/>
        </w:rPr>
        <w:t>aligner intégralement site, réseaux sociaux, présentations et conditions de service sur ce document.</w:t>
      </w:r>
    </w:p>
    <w:p>
      <w:pPr>
        <w:keepNext/>
        <w:spacing w:before="440" w:after="100"/>
      </w:pPr>
      <w:r>
        <w:rPr>
          <w:rFonts w:ascii="Arial" w:hAnsi="Arial" w:eastAsia="Arial"/>
          <w:b/>
          <w:color w:val="C6A15B"/>
          <w:sz w:val="16"/>
        </w:rPr>
        <w:t>CHAPITRE ANNEXE D</w:t>
      </w:r>
    </w:p>
    <w:p>
      <w:pPr>
        <w:pStyle w:val="Heading1"/>
        <w:pageBreakBefore w:val="0"/>
      </w:pPr>
      <w:r>
        <w:t>Glossaire</w:t>
      </w:r>
    </w:p>
    <w:tbl>
      <w:tblPr>
        <w:tblStyle w:val="TableGrid"/>
        <w:tblW w:type="dxa" w:w="9500"/>
        <w:jc w:val="left"/>
        <w:tblLayout w:type="fixed"/>
        <w:tblLook w:firstColumn="1" w:firstRow="1" w:lastColumn="0" w:lastRow="0" w:noHBand="0" w:noVBand="1" w:val="04A0"/>
        <w:tblInd w:w="120" w:type="dxa"/>
      </w:tblPr>
      <w:tblGrid>
        <w:gridCol w:w="2450"/>
        <w:gridCol w:w="7050"/>
      </w:tblGrid>
      <w:tr>
        <w:trPr>
          <w:tblHeader w:val="true"/>
          <w:cantSplit/>
        </w:trPr>
        <w:tc>
          <w:tcPr>
            <w:tcW w:type="dxa" w:w="24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Terme</w:t>
            </w:r>
          </w:p>
        </w:tc>
        <w:tc>
          <w:tcPr>
            <w:tcW w:type="dxa" w:w="705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Couche de garantie de service objective autour d'une action on-chain bornée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BCS</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Bounded Campaign Settlement, règlement de campagne financé à l'avance par sponsor</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Proof Certificate</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Enregistrement versionné résumant engagement, preuves, politique et résultat</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Collecteur</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Composant autorisé qui observe une source et authentifie une preuve</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Finalité</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Niveau de confirmation à partir duquel un événement est traité comme suffisamment stable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Reorg</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Réorganisation de chaîne pouvant invalider des blocs ou événements précédemment observés</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closed</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Comportement qui refuse d'attribuer un résultat ou un paiement si la preuve manque</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Escrow</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Fonds affectés et séparés, libérables seulement selon des règles préétablies</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Timelock</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Délai imposé entre programmation et exécution d'une décision</w:t>
            </w:r>
          </w:p>
        </w:tc>
      </w:tr>
      <w:tr>
        <w:trPr>
          <w:cantSplit/>
        </w:trPr>
        <w:tc>
          <w:tcPr>
            <w:tcW w:type="dxa" w:w="24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 necessity</w:t>
            </w:r>
          </w:p>
        </w:tc>
        <w:tc>
          <w:tcPr>
            <w:tcW w:type="dxa" w:w="705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Mesure de la propriété perdue lorsque VERIDIA est retiré ou substitué</w:t>
            </w:r>
          </w:p>
        </w:tc>
      </w:tr>
      <w:tr>
        <w:trPr>
          <w:cantSplit/>
        </w:trPr>
        <w:tc>
          <w:tcPr>
            <w:tcW w:type="dxa" w:w="24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ART / EMT</w:t>
            </w:r>
          </w:p>
        </w:tc>
        <w:tc>
          <w:tcPr>
            <w:tcW w:type="dxa" w:w="705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Catégories MiCA de jetons se référant à des actifs / de monnaie électronique</w:t>
            </w:r>
          </w:p>
        </w:tc>
      </w:tr>
    </w:tbl>
    <w:p>
      <w:pPr>
        <w:spacing w:after="40"/>
      </w:pPr>
    </w:p>
    <w:p>
      <w:pPr>
        <w:keepNext/>
        <w:spacing w:before="440" w:after="100"/>
      </w:pPr>
      <w:r>
        <w:rPr>
          <w:rFonts w:ascii="Arial" w:hAnsi="Arial" w:eastAsia="Arial"/>
          <w:b/>
          <w:color w:val="C6A15B"/>
          <w:sz w:val="16"/>
        </w:rPr>
        <w:t>CHAPITRE ANNEXE E</w:t>
      </w:r>
    </w:p>
    <w:p>
      <w:pPr>
        <w:pStyle w:val="Heading1"/>
        <w:pageBreakBefore w:val="0"/>
      </w:pPr>
      <w:r>
        <w:t>Références</w:t>
      </w:r>
    </w:p>
    <w:p>
      <w:pPr>
        <w:spacing w:after="140" w:line="307" w:lineRule="auto"/>
      </w:pPr>
      <w:r>
        <w:rPr>
          <w:rFonts w:ascii="Arial" w:hAnsi="Arial" w:eastAsia="Arial"/>
          <w:b/>
          <w:color w:val="162019"/>
          <w:sz w:val="20"/>
        </w:rPr>
        <w:t>Sources internes</w:t>
      </w:r>
    </w:p>
    <w:p>
      <w:pPr>
        <w:numPr>
          <w:ilvl w:val="0"/>
          <w:numId w:val="16"/>
        </w:numPr>
        <w:spacing w:after="80" w:line="283" w:lineRule="auto"/>
      </w:pPr>
      <w:r>
        <w:rPr>
          <w:rFonts w:ascii="Arial" w:hAnsi="Arial" w:eastAsia="Arial"/>
          <w:color w:val="162019"/>
          <w:sz w:val="20"/>
        </w:rPr>
        <w:t>VERIDIA Phase 2 Design Iteration 2 — 26 août 2026.</w:t>
      </w:r>
    </w:p>
    <w:p>
      <w:pPr>
        <w:numPr>
          <w:ilvl w:val="0"/>
          <w:numId w:val="16"/>
        </w:numPr>
        <w:spacing w:after="80" w:line="283" w:lineRule="auto"/>
      </w:pPr>
      <w:r>
        <w:rPr>
          <w:rFonts w:ascii="Arial" w:hAnsi="Arial" w:eastAsia="Arial"/>
          <w:color w:val="162019"/>
          <w:sz w:val="20"/>
        </w:rPr>
        <w:t>VERIDIA Phase 2 Design Iteration 3 — Fundamental Protocol Discovery — 26 août 2026.</w:t>
      </w:r>
    </w:p>
    <w:p>
      <w:pPr>
        <w:numPr>
          <w:ilvl w:val="0"/>
          <w:numId w:val="16"/>
        </w:numPr>
        <w:spacing w:after="80" w:line="283" w:lineRule="auto"/>
      </w:pPr>
      <w:r>
        <w:rPr>
          <w:rFonts w:ascii="Arial" w:hAnsi="Arial" w:eastAsia="Arial"/>
          <w:color w:val="162019"/>
          <w:sz w:val="20"/>
        </w:rPr>
        <w:t>ALPHA Use-Case Matrix — Phase 2.5 — 26 août 2026.</w:t>
      </w:r>
    </w:p>
    <w:p>
      <w:pPr>
        <w:numPr>
          <w:ilvl w:val="0"/>
          <w:numId w:val="16"/>
        </w:numPr>
        <w:spacing w:after="80" w:line="283" w:lineRule="auto"/>
      </w:pPr>
      <w:r>
        <w:rPr>
          <w:rFonts w:ascii="Arial" w:hAnsi="Arial" w:eastAsia="Arial"/>
          <w:color w:val="162019"/>
          <w:sz w:val="20"/>
        </w:rPr>
        <w:t>VERIDIA Fundamental Finalist Matrix — Iteration 3 — 26 août 2026.</w:t>
      </w:r>
    </w:p>
    <w:p>
      <w:pPr>
        <w:numPr>
          <w:ilvl w:val="0"/>
          <w:numId w:val="16"/>
        </w:numPr>
        <w:spacing w:after="80" w:line="283" w:lineRule="auto"/>
      </w:pPr>
      <w:r>
        <w:rPr>
          <w:rFonts w:ascii="Arial" w:hAnsi="Arial" w:eastAsia="Arial"/>
          <w:color w:val="162019"/>
          <w:sz w:val="20"/>
        </w:rPr>
        <w:t>VERIDIA Phase 3B Completion Report — ALPHA Adversarial Hardening — 30 août 2026.</w:t>
      </w:r>
    </w:p>
    <w:p>
      <w:pPr>
        <w:numPr>
          <w:ilvl w:val="0"/>
          <w:numId w:val="16"/>
        </w:numPr>
        <w:spacing w:after="80" w:line="283" w:lineRule="auto"/>
      </w:pPr>
      <w:r>
        <w:rPr>
          <w:rFonts w:ascii="Arial" w:hAnsi="Arial" w:eastAsia="Arial"/>
          <w:color w:val="162019"/>
          <w:sz w:val="20"/>
        </w:rPr>
        <w:t>VERIDIA Phase 3B.2 Toolchain Risk Review — 30 août 2026.</w:t>
      </w:r>
    </w:p>
    <w:p>
      <w:pPr>
        <w:spacing w:after="140" w:line="307" w:lineRule="auto"/>
      </w:pPr>
      <w:r>
        <w:rPr>
          <w:rFonts w:ascii="Arial" w:hAnsi="Arial" w:eastAsia="Arial"/>
          <w:b/>
          <w:color w:val="162019"/>
          <w:sz w:val="20"/>
        </w:rPr>
        <w:t>Sources normatives et techniques</w:t>
      </w:r>
    </w:p>
    <w:p>
      <w:pPr>
        <w:numPr>
          <w:ilvl w:val="0"/>
          <w:numId w:val="16"/>
        </w:numPr>
        <w:spacing w:after="80" w:line="283" w:lineRule="auto"/>
      </w:pPr>
      <w:r>
        <w:rPr>
          <w:rFonts w:ascii="Arial" w:hAnsi="Arial" w:eastAsia="Arial"/>
          <w:b/>
          <w:color w:val="162019"/>
          <w:sz w:val="20"/>
        </w:rPr>
        <w:t>Union européenne —</w:t>
      </w:r>
      <w:r>
        <w:rPr>
          <w:rFonts w:ascii="Arial" w:hAnsi="Arial" w:eastAsia="Arial"/>
          <w:color w:val="162019"/>
          <w:sz w:val="20"/>
        </w:rPr>
      </w:r>
      <w:hyperlink r:id="rId19">
        <w:r>
          <w:rPr>
            <w:color w:val="155A3E"/>
            <w:u w:val="single"/>
          </w:rPr>
          <w:t>Règlement (UE) 2023/1114 — MiCA</w:t>
        </w:r>
      </w:hyperlink>
      <w:r>
        <w:rPr>
          <w:rFonts w:ascii="Arial" w:hAnsi="Arial" w:eastAsia="Arial"/>
          <w:color w:val="162019"/>
          <w:sz w:val="20"/>
        </w:rPr>
        <w:t>. Consulté le 8 septembre 2026</w:t>
      </w:r>
    </w:p>
    <w:p>
      <w:pPr>
        <w:numPr>
          <w:ilvl w:val="0"/>
          <w:numId w:val="16"/>
        </w:numPr>
        <w:spacing w:after="80" w:line="283" w:lineRule="auto"/>
      </w:pPr>
      <w:r>
        <w:rPr>
          <w:rFonts w:ascii="Arial" w:hAnsi="Arial" w:eastAsia="Arial"/>
          <w:b/>
          <w:color w:val="162019"/>
          <w:sz w:val="20"/>
        </w:rPr>
        <w:t>ESMA —</w:t>
      </w:r>
      <w:r>
        <w:rPr>
          <w:rFonts w:ascii="Arial" w:hAnsi="Arial" w:eastAsia="Arial"/>
          <w:color w:val="162019"/>
          <w:sz w:val="20"/>
        </w:rPr>
      </w:r>
      <w:hyperlink r:id="rId20">
        <w:r>
          <w:rPr>
            <w:color w:val="155A3E"/>
            <w:u w:val="single"/>
          </w:rPr>
          <w:t>Article 6 — Contenu et forme du livre blanc</w:t>
        </w:r>
      </w:hyperlink>
      <w:r>
        <w:rPr>
          <w:rFonts w:ascii="Arial" w:hAnsi="Arial" w:eastAsia="Arial"/>
          <w:color w:val="162019"/>
          <w:sz w:val="20"/>
        </w:rPr>
        <w:t>. Exigences de présentation, avertissements et risques</w:t>
      </w:r>
    </w:p>
    <w:p>
      <w:pPr>
        <w:numPr>
          <w:ilvl w:val="0"/>
          <w:numId w:val="16"/>
        </w:numPr>
        <w:spacing w:after="80" w:line="283" w:lineRule="auto"/>
      </w:pPr>
      <w:r>
        <w:rPr>
          <w:rFonts w:ascii="Arial" w:hAnsi="Arial" w:eastAsia="Arial"/>
          <w:b/>
          <w:color w:val="162019"/>
          <w:sz w:val="20"/>
        </w:rPr>
        <w:t>ESMA —</w:t>
      </w:r>
      <w:r>
        <w:rPr>
          <w:rFonts w:ascii="Arial" w:hAnsi="Arial" w:eastAsia="Arial"/>
          <w:color w:val="162019"/>
          <w:sz w:val="20"/>
        </w:rPr>
      </w:r>
      <w:hyperlink r:id="rId21">
        <w:r>
          <w:rPr>
            <w:color w:val="155A3E"/>
            <w:u w:val="single"/>
          </w:rPr>
          <w:t>Annexe I — Informations à fournir</w:t>
        </w:r>
      </w:hyperlink>
      <w:r>
        <w:rPr>
          <w:rFonts w:ascii="Arial" w:hAnsi="Arial" w:eastAsia="Arial"/>
          <w:color w:val="162019"/>
          <w:sz w:val="20"/>
        </w:rPr>
        <w:t>. Matrice des informations pour crypto-actifs autres qu'ART/EMT</w:t>
      </w:r>
    </w:p>
    <w:p>
      <w:pPr>
        <w:numPr>
          <w:ilvl w:val="0"/>
          <w:numId w:val="16"/>
        </w:numPr>
        <w:spacing w:after="80" w:line="283" w:lineRule="auto"/>
      </w:pPr>
      <w:r>
        <w:rPr>
          <w:rFonts w:ascii="Arial" w:hAnsi="Arial" w:eastAsia="Arial"/>
          <w:b/>
          <w:color w:val="162019"/>
          <w:sz w:val="20"/>
        </w:rPr>
        <w:t>AMF —</w:t>
      </w:r>
      <w:r>
        <w:rPr>
          <w:rFonts w:ascii="Arial" w:hAnsi="Arial" w:eastAsia="Arial"/>
          <w:color w:val="162019"/>
          <w:sz w:val="20"/>
        </w:rPr>
      </w:r>
      <w:hyperlink r:id="rId15">
        <w:r>
          <w:rPr>
            <w:color w:val="155A3E"/>
            <w:u w:val="single"/>
          </w:rPr>
          <w:t>Offres au public et admission à la négociation de crypto-actifs</w:t>
        </w:r>
      </w:hyperlink>
      <w:r>
        <w:rPr>
          <w:rFonts w:ascii="Arial" w:hAnsi="Arial" w:eastAsia="Arial"/>
          <w:color w:val="162019"/>
          <w:sz w:val="20"/>
        </w:rPr>
        <w:t>. Procédure française ; à revalider au dépôt</w:t>
      </w:r>
    </w:p>
    <w:p>
      <w:pPr>
        <w:numPr>
          <w:ilvl w:val="0"/>
          <w:numId w:val="16"/>
        </w:numPr>
        <w:spacing w:after="80" w:line="283" w:lineRule="auto"/>
      </w:pPr>
      <w:r>
        <w:rPr>
          <w:rFonts w:ascii="Arial" w:hAnsi="Arial" w:eastAsia="Arial"/>
          <w:b/>
          <w:color w:val="162019"/>
          <w:sz w:val="20"/>
        </w:rPr>
        <w:t>Base —</w:t>
      </w:r>
      <w:r>
        <w:rPr>
          <w:rFonts w:ascii="Arial" w:hAnsi="Arial" w:eastAsia="Arial"/>
          <w:color w:val="162019"/>
          <w:sz w:val="20"/>
        </w:rPr>
      </w:r>
      <w:hyperlink r:id="rId22">
        <w:r>
          <w:rPr>
            <w:color w:val="155A3E"/>
            <w:u w:val="single"/>
          </w:rPr>
          <w:t>Connect to Base — network details</w:t>
        </w:r>
      </w:hyperlink>
      <w:r>
        <w:rPr>
          <w:rFonts w:ascii="Arial" w:hAnsi="Arial" w:eastAsia="Arial"/>
          <w:color w:val="162019"/>
          <w:sz w:val="20"/>
        </w:rPr>
        <w:t>. Base Sepolia : chain ID 84532 et explorateur dédié</w:t>
      </w:r>
    </w:p>
    <w:p>
      <w:pPr>
        <w:numPr>
          <w:ilvl w:val="0"/>
          <w:numId w:val="16"/>
        </w:numPr>
        <w:spacing w:after="80" w:line="283" w:lineRule="auto"/>
      </w:pPr>
      <w:r>
        <w:rPr>
          <w:rFonts w:ascii="Arial" w:hAnsi="Arial" w:eastAsia="Arial"/>
          <w:b/>
          <w:color w:val="162019"/>
          <w:sz w:val="20"/>
        </w:rPr>
        <w:t>Ethereum —</w:t>
      </w:r>
      <w:r>
        <w:rPr>
          <w:rFonts w:ascii="Arial" w:hAnsi="Arial" w:eastAsia="Arial"/>
          <w:color w:val="162019"/>
          <w:sz w:val="20"/>
        </w:rPr>
      </w:r>
      <w:hyperlink r:id="rId16">
        <w:r>
          <w:rPr>
            <w:color w:val="155A3E"/>
            <w:u w:val="single"/>
          </w:rPr>
          <w:t>ERC-20 Token Standard</w:t>
        </w:r>
      </w:hyperlink>
    </w:p>
    <w:p>
      <w:pPr>
        <w:numPr>
          <w:ilvl w:val="0"/>
          <w:numId w:val="16"/>
        </w:numPr>
        <w:spacing w:after="80" w:line="283" w:lineRule="auto"/>
      </w:pPr>
      <w:r>
        <w:rPr>
          <w:rFonts w:ascii="Arial" w:hAnsi="Arial" w:eastAsia="Arial"/>
          <w:b/>
          <w:color w:val="162019"/>
          <w:sz w:val="20"/>
        </w:rPr>
        <w:t>Ethereum —</w:t>
      </w:r>
      <w:r>
        <w:rPr>
          <w:rFonts w:ascii="Arial" w:hAnsi="Arial" w:eastAsia="Arial"/>
          <w:color w:val="162019"/>
          <w:sz w:val="20"/>
        </w:rPr>
      </w:r>
      <w:hyperlink r:id="rId17">
        <w:r>
          <w:rPr>
            <w:color w:val="155A3E"/>
            <w:u w:val="single"/>
          </w:rPr>
          <w:t>EIP-712 Typed Structured Data</w:t>
        </w:r>
      </w:hyperlink>
      <w:r>
        <w:rPr>
          <w:rFonts w:ascii="Arial" w:hAnsi="Arial" w:eastAsia="Arial"/>
          <w:color w:val="162019"/>
          <w:sz w:val="20"/>
        </w:rPr>
        <w:t>. Domain separation et signatures structurées</w:t>
      </w:r>
    </w:p>
    <w:p>
      <w:pPr>
        <w:numPr>
          <w:ilvl w:val="0"/>
          <w:numId w:val="16"/>
        </w:numPr>
        <w:spacing w:after="80" w:line="283" w:lineRule="auto"/>
      </w:pPr>
      <w:r>
        <w:rPr>
          <w:rFonts w:ascii="Arial" w:hAnsi="Arial" w:eastAsia="Arial"/>
          <w:b/>
          <w:color w:val="162019"/>
          <w:sz w:val="20"/>
        </w:rPr>
        <w:t>Ethereum —</w:t>
      </w:r>
      <w:r>
        <w:rPr>
          <w:rFonts w:ascii="Arial" w:hAnsi="Arial" w:eastAsia="Arial"/>
          <w:color w:val="162019"/>
          <w:sz w:val="20"/>
        </w:rPr>
      </w:r>
      <w:hyperlink r:id="rId18">
        <w:r>
          <w:rPr>
            <w:color w:val="155A3E"/>
            <w:u w:val="single"/>
          </w:rPr>
          <w:t>ERC-1271 Contract Signature Validation</w:t>
        </w:r>
      </w:hyperlink>
    </w:p>
    <w:p>
      <w:pPr>
        <w:numPr>
          <w:ilvl w:val="0"/>
          <w:numId w:val="16"/>
        </w:numPr>
        <w:spacing w:after="80" w:line="283" w:lineRule="auto"/>
      </w:pPr>
      <w:r>
        <w:rPr>
          <w:rFonts w:ascii="Arial" w:hAnsi="Arial" w:eastAsia="Arial"/>
          <w:b/>
          <w:color w:val="162019"/>
          <w:sz w:val="20"/>
        </w:rPr>
        <w:t>Ethereum —</w:t>
      </w:r>
      <w:r>
        <w:rPr>
          <w:rFonts w:ascii="Arial" w:hAnsi="Arial" w:eastAsia="Arial"/>
          <w:color w:val="162019"/>
          <w:sz w:val="20"/>
        </w:rPr>
      </w:r>
      <w:hyperlink r:id="rId23">
        <w:r>
          <w:rPr>
            <w:color w:val="155A3E"/>
            <w:u w:val="single"/>
          </w:rPr>
          <w:t>ERC-5805 Voting with Delegation</w:t>
        </w:r>
      </w:hyperlink>
    </w:p>
    <w:p>
      <w:pPr>
        <w:numPr>
          <w:ilvl w:val="0"/>
          <w:numId w:val="16"/>
        </w:numPr>
        <w:spacing w:after="80" w:line="283" w:lineRule="auto"/>
      </w:pPr>
      <w:r>
        <w:rPr>
          <w:rFonts w:ascii="Arial" w:hAnsi="Arial" w:eastAsia="Arial"/>
          <w:b/>
          <w:color w:val="162019"/>
          <w:sz w:val="20"/>
        </w:rPr>
        <w:t>OpenZeppelin —</w:t>
      </w:r>
      <w:r>
        <w:rPr>
          <w:rFonts w:ascii="Arial" w:hAnsi="Arial" w:eastAsia="Arial"/>
          <w:color w:val="162019"/>
          <w:sz w:val="20"/>
        </w:rPr>
      </w:r>
      <w:hyperlink r:id="rId13">
        <w:r>
          <w:rPr>
            <w:color w:val="155A3E"/>
            <w:u w:val="single"/>
          </w:rPr>
          <w:t>Contracts 5.x — Governance</w:t>
        </w:r>
      </w:hyperlink>
      <w:r>
        <w:rPr>
          <w:rFonts w:ascii="Arial" w:hAnsi="Arial" w:eastAsia="Arial"/>
          <w:color w:val="162019"/>
          <w:sz w:val="20"/>
        </w:rPr>
        <w:t>. Governor et TimelockController</w:t>
      </w:r>
    </w:p>
    <w:p>
      <w:pPr>
        <w:spacing w:before="100" w:after="180" w:line="283" w:lineRule="auto"/>
        <w:ind w:left="227" w:right="170"/>
        <w:shd w:fill="EDF3EF"/>
        <w:pBdr>
          <w:left w:val="single" w:sz="18" w:space="8" w:color="155A3E"/>
        </w:pBdr>
      </w:pPr>
      <w:r>
        <w:rPr>
          <w:rFonts w:ascii="Arial" w:hAnsi="Arial" w:eastAsia="Arial"/>
          <w:b/>
          <w:color w:val="155A3E"/>
          <w:sz w:val="16"/>
        </w:rPr>
        <w:t>CONCLUSION</w:t>
        <w:br/>
      </w:r>
      <w:r>
        <w:rPr>
          <w:rFonts w:ascii="Arial" w:hAnsi="Arial" w:eastAsia="Arial"/>
          <w:b w:val="0"/>
          <w:color w:val="162019"/>
          <w:sz w:val="20"/>
        </w:rPr>
        <w:t>Pacturion dispose, avec VERIDIA Protocol, d'un socle technique structuré et d'une discipline économique plus robuste que la plupart des projets token-first. La faiblesse actuelle du programme n'est pas le manque de fonctionnalités : c'est l'absence de preuve client et d'une utilité native non substituable. La bonne stratégie est de transformer ALPHA en produit mesurable, de garder BCS modulaire et de n'activer VERIDIA que si les preuves techniques, économiques et juridiques convergent.</w:t>
      </w:r>
    </w:p>
    <w:p>
      <w:r>
        <w:br w:type="page"/>
      </w:r>
    </w:p>
    <w:p>
      <w:pPr>
        <w:keepNext/>
        <w:spacing w:before="440" w:after="100"/>
      </w:pPr>
      <w:r>
        <w:rPr>
          <w:rFonts w:ascii="Arial" w:hAnsi="Arial" w:eastAsia="Arial"/>
          <w:b/>
          <w:color w:val="C6A15B"/>
          <w:sz w:val="16"/>
        </w:rPr>
        <w:t>CHAPITRE F</w:t>
      </w:r>
    </w:p>
    <w:p>
      <w:pPr>
        <w:pStyle w:val="Heading1"/>
        <w:pageBreakBefore w:val="0"/>
      </w:pPr>
      <w:r>
        <w:t>Synthèse de décision Pacturion</w:t>
      </w:r>
    </w:p>
    <w:p>
      <w:pPr>
        <w:keepNext/>
        <w:spacing w:after="320"/>
      </w:pPr>
      <w:r>
        <w:rPr>
          <w:rFonts w:ascii="Arial" w:hAnsi="Arial" w:eastAsia="Arial"/>
          <w:i/>
          <w:color w:val="66736B"/>
          <w:sz w:val="25"/>
        </w:rPr>
        <w:t>La réussite du projet est définie par des preuves d’usage, pas par l’activation d’un actif.</w:t>
      </w:r>
    </w:p>
    <w:p>
      <w:pPr>
        <w:spacing w:before="100" w:after="180" w:line="283" w:lineRule="auto"/>
        <w:ind w:left="227" w:right="170"/>
        <w:shd w:fill="EDF3EF"/>
        <w:pBdr>
          <w:left w:val="single" w:sz="18" w:space="8" w:color="155A3E"/>
        </w:pBdr>
      </w:pPr>
      <w:r>
        <w:rPr>
          <w:rFonts w:ascii="Arial" w:hAnsi="Arial" w:eastAsia="Arial"/>
          <w:b/>
          <w:color w:val="155A3E"/>
          <w:sz w:val="16"/>
        </w:rPr>
        <w:t>DÉCISION CENTRALE</w:t>
        <w:br/>
      </w:r>
      <w:r>
        <w:rPr>
          <w:rFonts w:ascii="Arial" w:hAnsi="Arial" w:eastAsia="Arial"/>
          <w:b w:val="0"/>
          <w:color w:val="162019"/>
          <w:sz w:val="20"/>
        </w:rPr>
        <w:t>Pacturion doit d’abord démontrer qu’un engagement numérique borné réduit un coût ou un risque réel pour un client. VERIDIA Protocol est le moyen technique ; ALPHA reste une hypothèse produit ; le token VERIDIA demeure optionnel tant que sa nécessité native n’atteint pas le seuil de 6/10.</w:t>
      </w:r>
    </w:p>
    <w:p>
      <w:pPr>
        <w:pStyle w:val="Heading2"/>
      </w:pPr>
      <w:r>
        <w:t>Conditions pour poursuivre</w:t>
      </w:r>
    </w:p>
    <w:p>
      <w:pPr>
        <w:numPr>
          <w:ilvl w:val="0"/>
          <w:numId w:val="21"/>
        </w:numPr>
        <w:spacing w:after="80" w:line="283" w:lineRule="auto"/>
      </w:pPr>
      <w:r>
        <w:rPr>
          <w:rFonts w:ascii="Arial" w:hAnsi="Arial" w:eastAsia="Arial"/>
          <w:color w:val="162019"/>
          <w:sz w:val="20"/>
        </w:rPr>
        <w:t>Rattacher le déploiement Base Sepolia à un commit, des adresses, des bytecodes, des rôles et des transactions vérifiables.</w:t>
      </w:r>
    </w:p>
    <w:p>
      <w:pPr>
        <w:numPr>
          <w:ilvl w:val="0"/>
          <w:numId w:val="21"/>
        </w:numPr>
        <w:spacing w:after="80" w:line="283" w:lineRule="auto"/>
      </w:pPr>
      <w:r>
        <w:rPr>
          <w:rFonts w:ascii="Arial" w:hAnsi="Arial" w:eastAsia="Arial"/>
          <w:color w:val="162019"/>
          <w:sz w:val="20"/>
        </w:rPr>
        <w:t>Formaliser les rapports Phase 3.E Human Pilot et Release Candidate sans les présenter comme une validation client externe.</w:t>
      </w:r>
    </w:p>
    <w:p>
      <w:pPr>
        <w:numPr>
          <w:ilvl w:val="0"/>
          <w:numId w:val="21"/>
        </w:numPr>
        <w:spacing w:after="80" w:line="283" w:lineRule="auto"/>
      </w:pPr>
      <w:r>
        <w:rPr>
          <w:rFonts w:ascii="Arial" w:hAnsi="Arial" w:eastAsia="Arial"/>
          <w:color w:val="162019"/>
          <w:sz w:val="20"/>
        </w:rPr>
        <w:t>Obtenir un audit indépendant, corriger les constats bloquants et documenter le retest.</w:t>
      </w:r>
    </w:p>
    <w:p>
      <w:pPr>
        <w:numPr>
          <w:ilvl w:val="0"/>
          <w:numId w:val="21"/>
        </w:numPr>
        <w:spacing w:after="80" w:line="283" w:lineRule="auto"/>
      </w:pPr>
      <w:r>
        <w:rPr>
          <w:rFonts w:ascii="Arial" w:hAnsi="Arial" w:eastAsia="Arial"/>
          <w:color w:val="162019"/>
          <w:sz w:val="20"/>
        </w:rPr>
        <w:t>Observer des workflows réels, discuter le budget avec des décideurs et conduire un pilote borné tokenless.</w:t>
      </w:r>
    </w:p>
    <w:p>
      <w:pPr>
        <w:numPr>
          <w:ilvl w:val="0"/>
          <w:numId w:val="21"/>
        </w:numPr>
        <w:spacing w:after="80" w:line="283" w:lineRule="auto"/>
      </w:pPr>
      <w:r>
        <w:rPr>
          <w:rFonts w:ascii="Arial" w:hAnsi="Arial" w:eastAsia="Arial"/>
          <w:color w:val="162019"/>
          <w:sz w:val="20"/>
        </w:rPr>
        <w:t>Obtenir un avis juridique écrit avant toute fonction économique, distribution, offre ou admission à la négociation.</w:t>
      </w:r>
    </w:p>
    <w:p>
      <w:pPr>
        <w:pStyle w:val="Heading2"/>
      </w:pPr>
      <w:r>
        <w:t>Issues acceptables</w:t>
      </w:r>
    </w:p>
    <w:p>
      <w:pPr>
        <w:numPr>
          <w:ilvl w:val="0"/>
          <w:numId w:val="21"/>
        </w:numPr>
        <w:spacing w:after="80" w:line="283" w:lineRule="auto"/>
      </w:pPr>
      <w:r>
        <w:rPr>
          <w:rFonts w:ascii="Arial" w:hAnsi="Arial" w:eastAsia="Arial"/>
          <w:color w:val="162019"/>
          <w:sz w:val="20"/>
        </w:rPr>
        <w:t>Produit viable et rentable sans token : succès prioritaire.</w:t>
      </w:r>
    </w:p>
    <w:p>
      <w:pPr>
        <w:numPr>
          <w:ilvl w:val="0"/>
          <w:numId w:val="21"/>
        </w:numPr>
        <w:spacing w:after="80" w:line="283" w:lineRule="auto"/>
      </w:pPr>
      <w:r>
        <w:rPr>
          <w:rFonts w:ascii="Arial" w:hAnsi="Arial" w:eastAsia="Arial"/>
          <w:color w:val="162019"/>
          <w:sz w:val="20"/>
        </w:rPr>
        <w:t>Nécessité VERIDIA démontrée, auditée et juridiquement autorisée : activation conditionnelle.</w:t>
      </w:r>
    </w:p>
    <w:p>
      <w:pPr>
        <w:numPr>
          <w:ilvl w:val="0"/>
          <w:numId w:val="21"/>
        </w:numPr>
        <w:spacing w:after="80" w:line="283" w:lineRule="auto"/>
      </w:pPr>
      <w:r>
        <w:rPr>
          <w:rFonts w:ascii="Arial" w:hAnsi="Arial" w:eastAsia="Arial"/>
          <w:color w:val="162019"/>
          <w:sz w:val="20"/>
        </w:rPr>
        <w:t>Nécessité non démontrée : maintien dormant de l’actif, sans faux échec.</w:t>
      </w:r>
    </w:p>
    <w:p>
      <w:pPr>
        <w:numPr>
          <w:ilvl w:val="0"/>
          <w:numId w:val="21"/>
        </w:numPr>
        <w:spacing w:after="80" w:line="283" w:lineRule="auto"/>
      </w:pPr>
      <w:r>
        <w:rPr>
          <w:rFonts w:ascii="Arial" w:hAnsi="Arial" w:eastAsia="Arial"/>
          <w:color w:val="162019"/>
          <w:sz w:val="20"/>
        </w:rPr>
        <w:t>Valeur client non démontrée : arrêt ou pivot d’ALPHA pour protéger le capital et le temps.</w:t>
      </w:r>
    </w:p>
    <w:p>
      <w:pPr>
        <w:spacing w:before="100" w:after="180" w:line="283" w:lineRule="auto"/>
        <w:ind w:left="227" w:right="170"/>
        <w:shd w:fill="F6F0E3"/>
        <w:pBdr>
          <w:left w:val="single" w:sz="18" w:space="8" w:color="C6A15B"/>
        </w:pBdr>
      </w:pPr>
      <w:r>
        <w:rPr>
          <w:rFonts w:ascii="Arial" w:hAnsi="Arial" w:eastAsia="Arial"/>
          <w:b/>
          <w:color w:val="C6A15B"/>
          <w:sz w:val="16"/>
        </w:rPr>
        <w:t>RÈGLE FINALE</w:t>
        <w:br/>
      </w:r>
      <w:r>
        <w:rPr>
          <w:rFonts w:ascii="Arial" w:hAnsi="Arial" w:eastAsia="Arial"/>
          <w:b w:val="0"/>
          <w:color w:val="162019"/>
          <w:sz w:val="20"/>
        </w:rPr>
        <w:t>Pacturion ne doit jamais utiliser une roadmap, un testnet, un résultat interne ou une narration de marché pour remplacer une preuve technique, commerciale, opérationnelle ou juridique manquante.</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WHITE PAPER V1.0</w:t>
    </w:r>
    <w:r>
      <w:rPr>
        <w:rFonts w:ascii="Arial" w:hAnsi="Arial" w:eastAsia="Arial"/>
        <w:b/>
        <w:color w:val="C6A15B"/>
        <w:sz w:val="14"/>
      </w:rPr>
      <w:tab/>
      <w:t xml:space="preserve">DOCUMENT TECHNIQUE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decimal"/>
      <w:lvlText w:val="%1."/>
      <w:suff w:val="tab"/>
      <w:pPr>
        <w:tabs>
          <w:tab w:val="num" w:pos="540"/>
        </w:tabs>
        <w:ind w:left="540" w:hanging="270"/>
      </w:pPr>
      <w:rPr>
        <w:color w:val="155A3E"/>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 Id="rId19" Type="http://schemas.openxmlformats.org/officeDocument/2006/relationships/hyperlink" Target="https://eur-lex.europa.eu/eli/reg/2023/1114/oj/eng" TargetMode="External"/><Relationship Id="rId20" Type="http://schemas.openxmlformats.org/officeDocument/2006/relationships/hyperlink" Target="https://www.esma.europa.eu/publications-and-data/interactive-single-rulebook/mica/article-6-content-and-form-crypto-asset" TargetMode="External"/><Relationship Id="rId21" Type="http://schemas.openxmlformats.org/officeDocument/2006/relationships/hyperlink" Target="https://www.esma.europa.eu/publications-and-data/interactive-single-rulebook/mica/disclosure-items-crypto-asset-white-paper" TargetMode="External"/><Relationship Id="rId22" Type="http://schemas.openxmlformats.org/officeDocument/2006/relationships/hyperlink" Target="https://docs.base.org/get-started/connect-to-base" TargetMode="External"/><Relationship Id="rId23" Type="http://schemas.openxmlformats.org/officeDocument/2006/relationships/hyperlink" Target="https://eips.ethereum.org/EIPS/eip-5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White Paper V1.0</dc:title>
  <dc:subject>Infrastructure for verifiable commitments</dc:subject>
  <dc:creator>Pacturion</dc:creator>
  <cp:keywords>Pacturion, VERIDIA Protocol, ALPHA, BCS, Proof-of-Reality, Base Sepolia</cp:keywords>
  <dc:description>Document technique et stratégique — non transactionnel</dc:description>
  <cp:lastModifiedBy/>
  <cp:revision>1</cp:revision>
  <dcterms:created xsi:type="dcterms:W3CDTF">2013-12-23T23:15:00Z</dcterms:created>
  <dcterms:modified xsi:type="dcterms:W3CDTF">2013-12-23T23:15:00Z</dcterms:modified>
  <cp:category/>
</cp:coreProperties>
</file>